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DF" w:rsidRPr="004963F8" w:rsidRDefault="000F3BEE" w:rsidP="00E667DF">
      <w:pPr>
        <w:autoSpaceDE w:val="0"/>
        <w:autoSpaceDN w:val="0"/>
        <w:adjustRightInd w:val="0"/>
        <w:ind w:left="4956" w:right="-676" w:firstLine="1704"/>
        <w:jc w:val="both"/>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9pt;margin-top:-9pt;width:2in;height:90pt;z-index:251660288" stroked="f">
            <v:textbox>
              <w:txbxContent>
                <w:p w:rsidR="00E667DF" w:rsidRPr="0093601E" w:rsidRDefault="00E667DF" w:rsidP="00E667DF">
                  <w:pPr>
                    <w:autoSpaceDE w:val="0"/>
                    <w:autoSpaceDN w:val="0"/>
                    <w:adjustRightInd w:val="0"/>
                    <w:rPr>
                      <w:rFonts w:ascii="TimesNewRomanPS" w:hAnsi="TimesNewRomanPS" w:cs="TimesNewRomanPS"/>
                      <w:b/>
                      <w:color w:val="FFCC00"/>
                      <w:sz w:val="48"/>
                      <w:szCs w:val="48"/>
                    </w:rPr>
                  </w:pPr>
                  <w:r w:rsidRPr="0093601E">
                    <w:rPr>
                      <w:rFonts w:ascii="TimesNewRomanPS" w:hAnsi="TimesNewRomanPS" w:cs="TimesNewRomanPS"/>
                      <w:b/>
                      <w:color w:val="FFCC00"/>
                      <w:sz w:val="48"/>
                      <w:szCs w:val="48"/>
                    </w:rPr>
                    <w:t>FTM</w:t>
                  </w:r>
                </w:p>
                <w:p w:rsidR="00E667DF" w:rsidRPr="0093601E" w:rsidRDefault="00E667DF" w:rsidP="00E667D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FUNDACIÓN</w:t>
                  </w:r>
                </w:p>
                <w:p w:rsidR="00E667DF" w:rsidRPr="0093601E" w:rsidRDefault="00E667DF" w:rsidP="00E667DF">
                  <w:pPr>
                    <w:autoSpaceDE w:val="0"/>
                    <w:autoSpaceDN w:val="0"/>
                    <w:adjustRightInd w:val="0"/>
                    <w:rPr>
                      <w:rFonts w:ascii="TimesNewRomanPS" w:hAnsi="TimesNewRomanPS" w:cs="TimesNewRomanPS"/>
                      <w:b/>
                      <w:color w:val="FFCC00"/>
                      <w:sz w:val="24"/>
                      <w:szCs w:val="24"/>
                    </w:rPr>
                  </w:pPr>
                  <w:r w:rsidRPr="0093601E">
                    <w:rPr>
                      <w:rFonts w:ascii="TimesNewRomanPS" w:hAnsi="TimesNewRomanPS" w:cs="TimesNewRomanPS"/>
                      <w:b/>
                      <w:color w:val="FFCC00"/>
                      <w:sz w:val="24"/>
                      <w:szCs w:val="24"/>
                    </w:rPr>
                    <w:t>TOMÁS</w:t>
                  </w:r>
                </w:p>
                <w:p w:rsidR="00E667DF" w:rsidRPr="0093601E" w:rsidRDefault="00E667DF" w:rsidP="00E667DF">
                  <w:pPr>
                    <w:rPr>
                      <w:b/>
                      <w:color w:val="FFCC00"/>
                    </w:rPr>
                  </w:pPr>
                  <w:r w:rsidRPr="0093601E">
                    <w:rPr>
                      <w:rFonts w:ascii="TimesNewRomanPS" w:hAnsi="TimesNewRomanPS" w:cs="TimesNewRomanPS"/>
                      <w:b/>
                      <w:color w:val="FFCC00"/>
                      <w:sz w:val="24"/>
                      <w:szCs w:val="24"/>
                    </w:rPr>
                    <w:t>MORO</w:t>
                  </w:r>
                </w:p>
              </w:txbxContent>
            </v:textbox>
          </v:shape>
        </w:pict>
      </w:r>
      <w:r w:rsidR="00E667DF" w:rsidRPr="004963F8">
        <w:rPr>
          <w:b/>
          <w:noProof/>
          <w:color w:val="333333"/>
          <w:sz w:val="28"/>
          <w:szCs w:val="28"/>
        </w:rPr>
        <w:drawing>
          <wp:inline distT="0" distB="0" distL="0" distR="0">
            <wp:extent cx="2072204" cy="1247775"/>
            <wp:effectExtent l="19050" t="0" r="424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72204" cy="1247775"/>
                    </a:xfrm>
                    <a:prstGeom prst="rect">
                      <a:avLst/>
                    </a:prstGeom>
                    <a:noFill/>
                    <a:ln w="9525">
                      <a:noFill/>
                      <a:miter lim="800000"/>
                      <a:headEnd/>
                      <a:tailEnd/>
                    </a:ln>
                  </pic:spPr>
                </pic:pic>
              </a:graphicData>
            </a:graphic>
          </wp:inline>
        </w:drawing>
      </w:r>
    </w:p>
    <w:p w:rsidR="00E667DF" w:rsidRPr="004963F8" w:rsidRDefault="00E667DF" w:rsidP="00E667DF">
      <w:pPr>
        <w:rPr>
          <w:sz w:val="28"/>
          <w:szCs w:val="28"/>
        </w:rPr>
      </w:pPr>
    </w:p>
    <w:p w:rsidR="004B45C6" w:rsidRDefault="004B45C6" w:rsidP="004B45C6">
      <w:pPr>
        <w:spacing w:before="120" w:after="120"/>
        <w:ind w:right="57"/>
        <w:jc w:val="both"/>
        <w:rPr>
          <w:b/>
          <w:sz w:val="24"/>
          <w:szCs w:val="24"/>
          <w:u w:val="single"/>
        </w:rPr>
      </w:pPr>
    </w:p>
    <w:p w:rsidR="00F61498" w:rsidRPr="005E2F2E" w:rsidRDefault="00F61498" w:rsidP="004B45C6">
      <w:pPr>
        <w:spacing w:before="120" w:after="120"/>
        <w:ind w:right="57"/>
        <w:jc w:val="both"/>
        <w:rPr>
          <w:b/>
          <w:sz w:val="24"/>
          <w:szCs w:val="24"/>
          <w:u w:val="single"/>
        </w:rPr>
      </w:pPr>
      <w:r w:rsidRPr="005E2F2E">
        <w:rPr>
          <w:b/>
          <w:sz w:val="24"/>
          <w:szCs w:val="24"/>
          <w:u w:val="single"/>
        </w:rPr>
        <w:t>CARTAS SOBRE “HUMANISMO Y POLÍTICA”</w:t>
      </w:r>
    </w:p>
    <w:p w:rsidR="00E667DF" w:rsidRPr="004963F8" w:rsidRDefault="00E667DF" w:rsidP="00E667DF">
      <w:pPr>
        <w:spacing w:before="120" w:after="120"/>
        <w:ind w:left="57" w:right="57" w:firstLine="284"/>
        <w:jc w:val="both"/>
        <w:rPr>
          <w:sz w:val="28"/>
          <w:szCs w:val="28"/>
        </w:rPr>
      </w:pPr>
    </w:p>
    <w:p w:rsidR="0005077D" w:rsidRDefault="00F61498" w:rsidP="000138E4">
      <w:pPr>
        <w:rPr>
          <w:b/>
          <w:sz w:val="24"/>
          <w:szCs w:val="24"/>
        </w:rPr>
      </w:pPr>
      <w:r w:rsidRPr="005E2F2E">
        <w:rPr>
          <w:b/>
          <w:sz w:val="24"/>
          <w:szCs w:val="24"/>
          <w:u w:val="single"/>
        </w:rPr>
        <w:t xml:space="preserve"> </w:t>
      </w:r>
      <w:r w:rsidRPr="00946688">
        <w:rPr>
          <w:b/>
          <w:sz w:val="24"/>
          <w:szCs w:val="24"/>
          <w:u w:val="single"/>
        </w:rPr>
        <w:t>Carta</w:t>
      </w:r>
      <w:r w:rsidR="000138E4" w:rsidRPr="00946688">
        <w:rPr>
          <w:b/>
          <w:sz w:val="24"/>
          <w:szCs w:val="24"/>
          <w:u w:val="single"/>
        </w:rPr>
        <w:t xml:space="preserve"> </w:t>
      </w:r>
      <w:r w:rsidR="00946688" w:rsidRPr="00946688">
        <w:rPr>
          <w:b/>
          <w:sz w:val="24"/>
          <w:szCs w:val="24"/>
          <w:u w:val="single"/>
        </w:rPr>
        <w:t>68</w:t>
      </w:r>
      <w:r w:rsidR="000138E4" w:rsidRPr="00946688">
        <w:rPr>
          <w:b/>
          <w:sz w:val="24"/>
          <w:szCs w:val="24"/>
          <w:u w:val="single"/>
        </w:rPr>
        <w:t>ª</w:t>
      </w:r>
      <w:r w:rsidR="000138E4">
        <w:rPr>
          <w:b/>
          <w:sz w:val="24"/>
          <w:szCs w:val="24"/>
        </w:rPr>
        <w:t>: Juan Luis Vives</w:t>
      </w:r>
    </w:p>
    <w:p w:rsidR="000138E4" w:rsidRDefault="000138E4" w:rsidP="000138E4">
      <w:pPr>
        <w:rPr>
          <w:sz w:val="28"/>
          <w:szCs w:val="28"/>
        </w:rPr>
      </w:pPr>
    </w:p>
    <w:p w:rsidR="0005077D" w:rsidRDefault="0005077D" w:rsidP="00E667DF">
      <w:pPr>
        <w:spacing w:before="120" w:after="120"/>
        <w:ind w:left="57" w:right="57" w:firstLine="284"/>
        <w:jc w:val="both"/>
        <w:rPr>
          <w:sz w:val="24"/>
          <w:szCs w:val="24"/>
        </w:rPr>
      </w:pPr>
      <w:r w:rsidRPr="00C848DC">
        <w:rPr>
          <w:sz w:val="24"/>
          <w:szCs w:val="24"/>
        </w:rPr>
        <w:t>Querido amigo</w:t>
      </w:r>
      <w:r w:rsidR="00CB3816" w:rsidRPr="00C848DC">
        <w:rPr>
          <w:rStyle w:val="Refdenotaalfinal"/>
          <w:sz w:val="24"/>
          <w:szCs w:val="24"/>
        </w:rPr>
        <w:endnoteReference w:id="1"/>
      </w:r>
      <w:r w:rsidRPr="00C848DC">
        <w:rPr>
          <w:sz w:val="24"/>
          <w:szCs w:val="24"/>
        </w:rPr>
        <w:t xml:space="preserve">: </w:t>
      </w:r>
    </w:p>
    <w:p w:rsidR="009D7FE9" w:rsidRDefault="009D7FE9" w:rsidP="00E667DF">
      <w:pPr>
        <w:spacing w:before="120" w:after="120"/>
        <w:ind w:left="57" w:right="57" w:firstLine="284"/>
        <w:jc w:val="both"/>
        <w:rPr>
          <w:sz w:val="24"/>
          <w:szCs w:val="24"/>
        </w:rPr>
      </w:pPr>
      <w:r>
        <w:rPr>
          <w:sz w:val="24"/>
          <w:szCs w:val="24"/>
        </w:rPr>
        <w:t>Como ya sabes, cada diez cartas más o menos, te informo sobre un humanista. Hasta ahora me he referido a Tomás Moro (carta 11ª), a Cruz Martínez Esteruelas (carta 19ª), a Erasmo de Rotterdam (carta 31ª), a Raimundo Lulio (carta 40ª) y a San Juan Pablo II (cartas 52ª a 57ª)</w:t>
      </w:r>
    </w:p>
    <w:p w:rsidR="000138E4" w:rsidRDefault="000138E4" w:rsidP="00E667DF">
      <w:pPr>
        <w:spacing w:before="120" w:after="120"/>
        <w:ind w:left="57" w:right="57" w:firstLine="284"/>
        <w:jc w:val="both"/>
        <w:rPr>
          <w:sz w:val="24"/>
          <w:szCs w:val="24"/>
        </w:rPr>
      </w:pPr>
      <w:r>
        <w:rPr>
          <w:sz w:val="24"/>
          <w:szCs w:val="24"/>
        </w:rPr>
        <w:t>El humanista del que te hablo en esta carta, es el típico español universal apenas conocido dentro de España. Su raza judía tuvo mucho que ver con una biografía azarosa en la que pasó la mayor parte de ella fuera de nuestras fronteras. Brujas, en Bélgica, fue su residencia habitual. Profesor universitario en Lovaina y en Oxford, preceptor de una hija de Enrique VIII de Inglaterra</w:t>
      </w:r>
      <w:r w:rsidR="001D4926">
        <w:rPr>
          <w:sz w:val="24"/>
          <w:szCs w:val="24"/>
        </w:rPr>
        <w:t>, de la esposa de Enrique Nassau y</w:t>
      </w:r>
      <w:r>
        <w:rPr>
          <w:sz w:val="24"/>
          <w:szCs w:val="24"/>
        </w:rPr>
        <w:t xml:space="preserve"> de Guillermo de </w:t>
      </w:r>
      <w:proofErr w:type="spellStart"/>
      <w:r>
        <w:rPr>
          <w:sz w:val="24"/>
          <w:szCs w:val="24"/>
        </w:rPr>
        <w:t>Croy</w:t>
      </w:r>
      <w:proofErr w:type="spellEnd"/>
      <w:r>
        <w:rPr>
          <w:sz w:val="24"/>
          <w:szCs w:val="24"/>
        </w:rPr>
        <w:t>, que vendría a España en el séquito de Carlos I y llegaría a ser Arzobispo de Toledo.</w:t>
      </w:r>
    </w:p>
    <w:p w:rsidR="000138E4" w:rsidRPr="000138E4" w:rsidRDefault="000138E4" w:rsidP="000138E4">
      <w:pPr>
        <w:spacing w:before="120" w:after="120"/>
        <w:ind w:left="57" w:right="57" w:firstLine="284"/>
        <w:jc w:val="both"/>
        <w:rPr>
          <w:sz w:val="24"/>
          <w:szCs w:val="24"/>
        </w:rPr>
      </w:pPr>
      <w:r w:rsidRPr="000138E4">
        <w:rPr>
          <w:sz w:val="24"/>
          <w:szCs w:val="24"/>
        </w:rPr>
        <w:t>Entre su abundante producción literaria</w:t>
      </w:r>
      <w:r w:rsidRPr="000138E4">
        <w:rPr>
          <w:rStyle w:val="Refdenotaalfinal"/>
          <w:sz w:val="24"/>
          <w:szCs w:val="24"/>
        </w:rPr>
        <w:endnoteReference w:id="2"/>
      </w:r>
      <w:r w:rsidRPr="000138E4">
        <w:rPr>
          <w:sz w:val="24"/>
          <w:szCs w:val="24"/>
        </w:rPr>
        <w:t>, podemos destacar los siguientes libros:</w:t>
      </w:r>
    </w:p>
    <w:p w:rsidR="000138E4" w:rsidRPr="000138E4" w:rsidRDefault="000138E4" w:rsidP="000138E4">
      <w:pPr>
        <w:spacing w:before="120" w:after="120"/>
        <w:ind w:left="57" w:right="57" w:firstLine="284"/>
        <w:jc w:val="both"/>
        <w:rPr>
          <w:sz w:val="24"/>
          <w:szCs w:val="24"/>
        </w:rPr>
      </w:pPr>
      <w:r w:rsidRPr="000138E4">
        <w:rPr>
          <w:sz w:val="24"/>
          <w:szCs w:val="24"/>
        </w:rPr>
        <w:t xml:space="preserve">En  </w:t>
      </w:r>
      <w:r w:rsidRPr="000138E4">
        <w:rPr>
          <w:i/>
          <w:sz w:val="24"/>
          <w:szCs w:val="24"/>
        </w:rPr>
        <w:t xml:space="preserve">“De concordia y discordia en el humano linaje” </w:t>
      </w:r>
      <w:r w:rsidR="001D4926">
        <w:rPr>
          <w:sz w:val="24"/>
          <w:szCs w:val="24"/>
        </w:rPr>
        <w:t xml:space="preserve">dejó escrito: </w:t>
      </w:r>
      <w:r w:rsidRPr="000138E4">
        <w:rPr>
          <w:i/>
          <w:sz w:val="24"/>
          <w:szCs w:val="24"/>
        </w:rPr>
        <w:t>“¡Ojalá que Dios me hiciera ver algún día a la España que me engendró y a la Francia que me educó…como concursantes a un premio, no para decidir quien tuvo más odios y crueldad o quien causó más daños y desgracias…sino para decidir cuál de las dos es más culta, cuál más prudente, más humana, más santa y más dada a la piedad!</w:t>
      </w:r>
      <w:r w:rsidR="001D4926">
        <w:rPr>
          <w:i/>
          <w:sz w:val="24"/>
          <w:szCs w:val="24"/>
        </w:rPr>
        <w:t>”</w:t>
      </w:r>
      <w:r w:rsidRPr="000138E4">
        <w:rPr>
          <w:sz w:val="24"/>
          <w:szCs w:val="24"/>
        </w:rPr>
        <w:t xml:space="preserve"> </w:t>
      </w:r>
    </w:p>
    <w:p w:rsidR="00B04BB8" w:rsidRDefault="000138E4" w:rsidP="001D4926">
      <w:pPr>
        <w:spacing w:before="120" w:after="120"/>
        <w:ind w:left="57" w:right="57" w:firstLine="284"/>
        <w:jc w:val="both"/>
        <w:rPr>
          <w:sz w:val="24"/>
          <w:szCs w:val="24"/>
        </w:rPr>
      </w:pPr>
      <w:r w:rsidRPr="000138E4">
        <w:rPr>
          <w:sz w:val="24"/>
          <w:szCs w:val="24"/>
        </w:rPr>
        <w:t>A</w:t>
      </w:r>
      <w:r w:rsidR="001D4926">
        <w:rPr>
          <w:sz w:val="24"/>
          <w:szCs w:val="24"/>
        </w:rPr>
        <w:t xml:space="preserve">l </w:t>
      </w:r>
      <w:r w:rsidRPr="000138E4">
        <w:rPr>
          <w:sz w:val="24"/>
          <w:szCs w:val="24"/>
        </w:rPr>
        <w:t xml:space="preserve">tema del pacifismo corresponde también </w:t>
      </w:r>
      <w:r w:rsidRPr="000138E4">
        <w:rPr>
          <w:i/>
          <w:sz w:val="24"/>
          <w:szCs w:val="24"/>
        </w:rPr>
        <w:t xml:space="preserve">“De la </w:t>
      </w:r>
      <w:proofErr w:type="spellStart"/>
      <w:r w:rsidRPr="000138E4">
        <w:rPr>
          <w:i/>
          <w:sz w:val="24"/>
          <w:szCs w:val="24"/>
        </w:rPr>
        <w:t>pacificación”,”De</w:t>
      </w:r>
      <w:proofErr w:type="spellEnd"/>
      <w:r w:rsidRPr="000138E4">
        <w:rPr>
          <w:i/>
          <w:sz w:val="24"/>
          <w:szCs w:val="24"/>
        </w:rPr>
        <w:t xml:space="preserve"> la insolidaridad de Europa y de la guerra contra el turco”, </w:t>
      </w:r>
      <w:r w:rsidRPr="000138E4">
        <w:rPr>
          <w:sz w:val="24"/>
          <w:szCs w:val="24"/>
        </w:rPr>
        <w:t>y</w:t>
      </w:r>
      <w:r w:rsidRPr="000138E4">
        <w:rPr>
          <w:i/>
          <w:sz w:val="24"/>
          <w:szCs w:val="24"/>
        </w:rPr>
        <w:t xml:space="preserve"> “De la condición de los cristiano</w:t>
      </w:r>
      <w:r w:rsidR="00946688">
        <w:rPr>
          <w:i/>
          <w:sz w:val="24"/>
          <w:szCs w:val="24"/>
        </w:rPr>
        <w:t>s</w:t>
      </w:r>
      <w:r w:rsidRPr="000138E4">
        <w:rPr>
          <w:i/>
          <w:sz w:val="24"/>
          <w:szCs w:val="24"/>
        </w:rPr>
        <w:t xml:space="preserve"> bajo el turco”.</w:t>
      </w:r>
      <w:r w:rsidR="001D4926">
        <w:rPr>
          <w:sz w:val="24"/>
          <w:szCs w:val="24"/>
        </w:rPr>
        <w:t xml:space="preserve"> </w:t>
      </w:r>
      <w:r w:rsidRPr="001D4926">
        <w:rPr>
          <w:sz w:val="24"/>
          <w:szCs w:val="24"/>
        </w:rPr>
        <w:t xml:space="preserve">En su etapa inglesa publica </w:t>
      </w:r>
      <w:r w:rsidRPr="001D4926">
        <w:rPr>
          <w:i/>
          <w:sz w:val="24"/>
          <w:szCs w:val="24"/>
        </w:rPr>
        <w:t xml:space="preserve">“De </w:t>
      </w:r>
      <w:proofErr w:type="spellStart"/>
      <w:r w:rsidRPr="001D4926">
        <w:rPr>
          <w:i/>
          <w:sz w:val="24"/>
          <w:szCs w:val="24"/>
        </w:rPr>
        <w:t>institutione</w:t>
      </w:r>
      <w:proofErr w:type="spellEnd"/>
      <w:r w:rsidRPr="001D4926">
        <w:rPr>
          <w:i/>
          <w:sz w:val="24"/>
          <w:szCs w:val="24"/>
        </w:rPr>
        <w:t xml:space="preserve"> </w:t>
      </w:r>
      <w:proofErr w:type="spellStart"/>
      <w:r w:rsidRPr="001D4926">
        <w:rPr>
          <w:i/>
          <w:sz w:val="24"/>
          <w:szCs w:val="24"/>
        </w:rPr>
        <w:t>feminae</w:t>
      </w:r>
      <w:proofErr w:type="spellEnd"/>
      <w:r w:rsidRPr="001D4926">
        <w:rPr>
          <w:i/>
          <w:sz w:val="24"/>
          <w:szCs w:val="24"/>
        </w:rPr>
        <w:t xml:space="preserve"> </w:t>
      </w:r>
      <w:proofErr w:type="spellStart"/>
      <w:r w:rsidRPr="001D4926">
        <w:rPr>
          <w:i/>
          <w:sz w:val="24"/>
          <w:szCs w:val="24"/>
        </w:rPr>
        <w:t>christianae</w:t>
      </w:r>
      <w:proofErr w:type="spellEnd"/>
      <w:r w:rsidRPr="001D4926">
        <w:rPr>
          <w:i/>
          <w:sz w:val="24"/>
          <w:szCs w:val="24"/>
        </w:rPr>
        <w:t>”</w:t>
      </w:r>
      <w:r w:rsidRPr="001D4926">
        <w:rPr>
          <w:sz w:val="24"/>
          <w:szCs w:val="24"/>
        </w:rPr>
        <w:t xml:space="preserve">, que dedicó a la Reina de Inglaterra Catalina de Aragón e </w:t>
      </w:r>
      <w:r w:rsidRPr="001D4926">
        <w:rPr>
          <w:i/>
          <w:sz w:val="24"/>
          <w:szCs w:val="24"/>
        </w:rPr>
        <w:t>“</w:t>
      </w:r>
      <w:proofErr w:type="spellStart"/>
      <w:r w:rsidRPr="001D4926">
        <w:rPr>
          <w:i/>
          <w:sz w:val="24"/>
          <w:szCs w:val="24"/>
        </w:rPr>
        <w:t>Introductio</w:t>
      </w:r>
      <w:proofErr w:type="spellEnd"/>
      <w:r w:rsidRPr="001D4926">
        <w:rPr>
          <w:i/>
          <w:sz w:val="24"/>
          <w:szCs w:val="24"/>
        </w:rPr>
        <w:t xml:space="preserve"> ad </w:t>
      </w:r>
      <w:proofErr w:type="spellStart"/>
      <w:r w:rsidRPr="001D4926">
        <w:rPr>
          <w:i/>
          <w:sz w:val="24"/>
          <w:szCs w:val="24"/>
        </w:rPr>
        <w:t>Sapientiam</w:t>
      </w:r>
      <w:proofErr w:type="spellEnd"/>
      <w:r w:rsidRPr="001D4926">
        <w:rPr>
          <w:i/>
          <w:sz w:val="24"/>
          <w:szCs w:val="24"/>
        </w:rPr>
        <w:t>”</w:t>
      </w:r>
      <w:r w:rsidRPr="001D4926">
        <w:rPr>
          <w:sz w:val="24"/>
          <w:szCs w:val="24"/>
        </w:rPr>
        <w:t xml:space="preserve">. Como latinista escribió </w:t>
      </w:r>
      <w:r w:rsidRPr="001D4926">
        <w:rPr>
          <w:i/>
          <w:sz w:val="24"/>
          <w:szCs w:val="24"/>
        </w:rPr>
        <w:t>“</w:t>
      </w:r>
      <w:proofErr w:type="spellStart"/>
      <w:r w:rsidRPr="001D4926">
        <w:rPr>
          <w:i/>
          <w:sz w:val="24"/>
          <w:szCs w:val="24"/>
        </w:rPr>
        <w:t>Exercitatio</w:t>
      </w:r>
      <w:proofErr w:type="spellEnd"/>
      <w:r w:rsidRPr="001D4926">
        <w:rPr>
          <w:i/>
          <w:sz w:val="24"/>
          <w:szCs w:val="24"/>
        </w:rPr>
        <w:t xml:space="preserve"> </w:t>
      </w:r>
      <w:proofErr w:type="spellStart"/>
      <w:r w:rsidRPr="001D4926">
        <w:rPr>
          <w:i/>
          <w:sz w:val="24"/>
          <w:szCs w:val="24"/>
        </w:rPr>
        <w:t>Liguae</w:t>
      </w:r>
      <w:proofErr w:type="spellEnd"/>
      <w:r w:rsidRPr="001D4926">
        <w:rPr>
          <w:i/>
          <w:sz w:val="24"/>
          <w:szCs w:val="24"/>
        </w:rPr>
        <w:t xml:space="preserve"> </w:t>
      </w:r>
      <w:proofErr w:type="spellStart"/>
      <w:r w:rsidRPr="001D4926">
        <w:rPr>
          <w:i/>
          <w:sz w:val="24"/>
          <w:szCs w:val="24"/>
        </w:rPr>
        <w:t>Latinae</w:t>
      </w:r>
      <w:proofErr w:type="spellEnd"/>
      <w:r w:rsidRPr="001D4926">
        <w:rPr>
          <w:i/>
          <w:sz w:val="24"/>
          <w:szCs w:val="24"/>
        </w:rPr>
        <w:t>”</w:t>
      </w:r>
      <w:r w:rsidRPr="001D4926">
        <w:rPr>
          <w:sz w:val="24"/>
          <w:szCs w:val="24"/>
        </w:rPr>
        <w:t xml:space="preserve">, generalmente conocido como </w:t>
      </w:r>
      <w:r w:rsidRPr="001D4926">
        <w:rPr>
          <w:i/>
          <w:sz w:val="24"/>
          <w:szCs w:val="24"/>
        </w:rPr>
        <w:t>“Diálogos”</w:t>
      </w:r>
      <w:r w:rsidR="001D4926">
        <w:rPr>
          <w:sz w:val="24"/>
          <w:szCs w:val="24"/>
        </w:rPr>
        <w:t xml:space="preserve">. </w:t>
      </w:r>
      <w:r w:rsidR="001D4926" w:rsidRPr="001D4926">
        <w:rPr>
          <w:sz w:val="24"/>
          <w:szCs w:val="24"/>
        </w:rPr>
        <w:t xml:space="preserve">Su libro sobre </w:t>
      </w:r>
      <w:r w:rsidR="001D4926" w:rsidRPr="001D4926">
        <w:rPr>
          <w:i/>
          <w:sz w:val="24"/>
          <w:szCs w:val="24"/>
        </w:rPr>
        <w:t>“De ánima et vitae”</w:t>
      </w:r>
      <w:r w:rsidR="00B04BB8">
        <w:rPr>
          <w:i/>
          <w:sz w:val="24"/>
          <w:szCs w:val="24"/>
        </w:rPr>
        <w:t xml:space="preserve"> </w:t>
      </w:r>
      <w:r w:rsidR="001D4926" w:rsidRPr="001D4926">
        <w:rPr>
          <w:sz w:val="24"/>
          <w:szCs w:val="24"/>
        </w:rPr>
        <w:t xml:space="preserve">sobre psicología, le ha valido el título de padre y precursor de la psicología moderna. </w:t>
      </w:r>
    </w:p>
    <w:p w:rsidR="001D4926" w:rsidRDefault="000138E4" w:rsidP="000138E4">
      <w:pPr>
        <w:spacing w:before="120" w:after="120"/>
        <w:ind w:left="57" w:right="57" w:firstLine="284"/>
        <w:jc w:val="both"/>
        <w:rPr>
          <w:sz w:val="24"/>
          <w:szCs w:val="24"/>
        </w:rPr>
      </w:pPr>
      <w:r w:rsidRPr="000138E4">
        <w:rPr>
          <w:sz w:val="24"/>
          <w:szCs w:val="24"/>
        </w:rPr>
        <w:t xml:space="preserve">Su gran obra humanista y de pensamiento es </w:t>
      </w:r>
      <w:r w:rsidRPr="000138E4">
        <w:rPr>
          <w:i/>
          <w:sz w:val="24"/>
          <w:szCs w:val="24"/>
        </w:rPr>
        <w:t xml:space="preserve">“De </w:t>
      </w:r>
      <w:proofErr w:type="spellStart"/>
      <w:r w:rsidRPr="000138E4">
        <w:rPr>
          <w:i/>
          <w:sz w:val="24"/>
          <w:szCs w:val="24"/>
        </w:rPr>
        <w:t>disciplinis</w:t>
      </w:r>
      <w:proofErr w:type="spellEnd"/>
      <w:r w:rsidRPr="000138E4">
        <w:rPr>
          <w:i/>
          <w:sz w:val="24"/>
          <w:szCs w:val="24"/>
        </w:rPr>
        <w:t>”</w:t>
      </w:r>
      <w:r w:rsidRPr="000138E4">
        <w:rPr>
          <w:sz w:val="24"/>
          <w:szCs w:val="24"/>
        </w:rPr>
        <w:t xml:space="preserve">, auténtica enciclopedia para su época,  en la que se ocupa de los distintos estudios de gramática, retórica, dialéctica, filosofía natural, medicina, matemáticas, filosofía moral y psicología. Como curiosidad para nuestro tiempo, señaló como causas de la corrupción de los saberes: la soberbia de los estudiosos, la búsqueda de un fin útil en vez de la pesquisa desinteresada de la verdad, el abuso de las polémicas, el exceso de veneración por las autoridades, el no acudir a los textos originales, la falta de método adecuado al estudio, entre otras muchas. </w:t>
      </w:r>
    </w:p>
    <w:p w:rsidR="001D4926" w:rsidRDefault="000138E4" w:rsidP="000138E4">
      <w:pPr>
        <w:spacing w:before="120" w:after="120"/>
        <w:ind w:left="57" w:right="57" w:firstLine="284"/>
        <w:jc w:val="both"/>
        <w:rPr>
          <w:sz w:val="24"/>
          <w:szCs w:val="24"/>
        </w:rPr>
      </w:pPr>
      <w:r w:rsidRPr="001D4926">
        <w:rPr>
          <w:sz w:val="24"/>
          <w:szCs w:val="24"/>
        </w:rPr>
        <w:lastRenderedPageBreak/>
        <w:t xml:space="preserve">Los </w:t>
      </w:r>
      <w:r w:rsidRPr="001D4926">
        <w:rPr>
          <w:i/>
          <w:sz w:val="24"/>
          <w:szCs w:val="24"/>
        </w:rPr>
        <w:t xml:space="preserve">“Comentarios a la &lt;Ciudad de Dios&gt; de San Agustín”, </w:t>
      </w:r>
      <w:r w:rsidRPr="001D4926">
        <w:rPr>
          <w:sz w:val="24"/>
          <w:szCs w:val="24"/>
        </w:rPr>
        <w:t xml:space="preserve">por encargo de Erasmo le supuso un enorme esfuerzo por la magnitud del trabajo y una angustia por las presiones a que era sometido para acabar pronto la tarea. En los últimos años de su  vida, con la salud maltrecha, escribió un libro de contenido teológico, una especie de apología de la fe cristiana dirigida a mostrar la verdad del Cristianismo. Su título era </w:t>
      </w:r>
      <w:r w:rsidRPr="001D4926">
        <w:rPr>
          <w:i/>
          <w:sz w:val="24"/>
          <w:szCs w:val="24"/>
        </w:rPr>
        <w:t xml:space="preserve">“De </w:t>
      </w:r>
      <w:proofErr w:type="spellStart"/>
      <w:r w:rsidRPr="001D4926">
        <w:rPr>
          <w:i/>
          <w:sz w:val="24"/>
          <w:szCs w:val="24"/>
        </w:rPr>
        <w:t>veritate</w:t>
      </w:r>
      <w:proofErr w:type="spellEnd"/>
      <w:r w:rsidRPr="001D4926">
        <w:rPr>
          <w:i/>
          <w:sz w:val="24"/>
          <w:szCs w:val="24"/>
        </w:rPr>
        <w:t xml:space="preserve"> </w:t>
      </w:r>
      <w:proofErr w:type="spellStart"/>
      <w:r w:rsidRPr="001D4926">
        <w:rPr>
          <w:i/>
          <w:sz w:val="24"/>
          <w:szCs w:val="24"/>
        </w:rPr>
        <w:t>fidei</w:t>
      </w:r>
      <w:proofErr w:type="spellEnd"/>
      <w:r w:rsidRPr="001D4926">
        <w:rPr>
          <w:i/>
          <w:sz w:val="24"/>
          <w:szCs w:val="24"/>
        </w:rPr>
        <w:t xml:space="preserve"> </w:t>
      </w:r>
      <w:proofErr w:type="spellStart"/>
      <w:r w:rsidRPr="001D4926">
        <w:rPr>
          <w:i/>
          <w:sz w:val="24"/>
          <w:szCs w:val="24"/>
        </w:rPr>
        <w:t>christianae</w:t>
      </w:r>
      <w:proofErr w:type="spellEnd"/>
      <w:r w:rsidRPr="001D4926">
        <w:rPr>
          <w:i/>
          <w:sz w:val="24"/>
          <w:szCs w:val="24"/>
        </w:rPr>
        <w:t>”</w:t>
      </w:r>
      <w:r w:rsidR="001D4926">
        <w:rPr>
          <w:sz w:val="24"/>
          <w:szCs w:val="24"/>
        </w:rPr>
        <w:t>.</w:t>
      </w:r>
    </w:p>
    <w:p w:rsidR="001D4926" w:rsidRDefault="001D4926" w:rsidP="001D4926">
      <w:pPr>
        <w:pStyle w:val="Prrafodelista"/>
        <w:ind w:left="341" w:firstLine="0"/>
        <w:rPr>
          <w:szCs w:val="24"/>
        </w:rPr>
      </w:pPr>
      <w:r w:rsidRPr="001D4926">
        <w:rPr>
          <w:szCs w:val="24"/>
        </w:rPr>
        <w:t>Sus aportaciones humanistas a la historia del pensamiento</w:t>
      </w:r>
      <w:r w:rsidR="007B3ABE">
        <w:rPr>
          <w:szCs w:val="24"/>
        </w:rPr>
        <w:t xml:space="preserve"> se pueden resumir así:</w:t>
      </w:r>
    </w:p>
    <w:p w:rsidR="009D7FE9" w:rsidRDefault="007B3ABE" w:rsidP="000138E4">
      <w:pPr>
        <w:spacing w:before="120" w:after="120"/>
        <w:ind w:left="57" w:right="57" w:firstLine="284"/>
        <w:jc w:val="both"/>
        <w:rPr>
          <w:sz w:val="24"/>
          <w:szCs w:val="24"/>
        </w:rPr>
      </w:pPr>
      <w:r>
        <w:rPr>
          <w:szCs w:val="24"/>
        </w:rPr>
        <w:t>-</w:t>
      </w:r>
      <w:r w:rsidR="009D7FE9">
        <w:rPr>
          <w:szCs w:val="24"/>
        </w:rPr>
        <w:t xml:space="preserve"> </w:t>
      </w:r>
      <w:r w:rsidR="000138E4" w:rsidRPr="000138E4">
        <w:rPr>
          <w:sz w:val="24"/>
          <w:szCs w:val="24"/>
        </w:rPr>
        <w:t xml:space="preserve">La idea de la dignidad humana aparece insistentemente en la obra de Vives y de manera especial en sus libros </w:t>
      </w:r>
      <w:r w:rsidR="000138E4" w:rsidRPr="000138E4">
        <w:rPr>
          <w:i/>
          <w:sz w:val="24"/>
          <w:szCs w:val="24"/>
        </w:rPr>
        <w:t xml:space="preserve">“Vigilia in </w:t>
      </w:r>
      <w:proofErr w:type="spellStart"/>
      <w:r w:rsidR="000138E4" w:rsidRPr="000138E4">
        <w:rPr>
          <w:i/>
          <w:sz w:val="24"/>
          <w:szCs w:val="24"/>
        </w:rPr>
        <w:t>Somnium</w:t>
      </w:r>
      <w:proofErr w:type="spellEnd"/>
      <w:r w:rsidR="000138E4" w:rsidRPr="000138E4">
        <w:rPr>
          <w:i/>
          <w:sz w:val="24"/>
          <w:szCs w:val="24"/>
        </w:rPr>
        <w:t xml:space="preserve"> </w:t>
      </w:r>
      <w:proofErr w:type="spellStart"/>
      <w:r w:rsidR="000138E4" w:rsidRPr="000138E4">
        <w:rPr>
          <w:i/>
          <w:sz w:val="24"/>
          <w:szCs w:val="24"/>
        </w:rPr>
        <w:t>Scipionis</w:t>
      </w:r>
      <w:proofErr w:type="spellEnd"/>
      <w:r w:rsidR="000138E4" w:rsidRPr="000138E4">
        <w:rPr>
          <w:i/>
          <w:sz w:val="24"/>
          <w:szCs w:val="24"/>
        </w:rPr>
        <w:t>”,</w:t>
      </w:r>
      <w:r w:rsidR="000138E4" w:rsidRPr="000138E4">
        <w:rPr>
          <w:sz w:val="24"/>
          <w:szCs w:val="24"/>
        </w:rPr>
        <w:t xml:space="preserve"> </w:t>
      </w:r>
      <w:r w:rsidR="000138E4" w:rsidRPr="000138E4">
        <w:rPr>
          <w:i/>
          <w:sz w:val="24"/>
          <w:szCs w:val="24"/>
        </w:rPr>
        <w:t xml:space="preserve">“Fabula de </w:t>
      </w:r>
      <w:proofErr w:type="spellStart"/>
      <w:r w:rsidR="000138E4" w:rsidRPr="000138E4">
        <w:rPr>
          <w:i/>
          <w:sz w:val="24"/>
          <w:szCs w:val="24"/>
        </w:rPr>
        <w:t>homine</w:t>
      </w:r>
      <w:proofErr w:type="spellEnd"/>
      <w:r w:rsidR="000138E4" w:rsidRPr="000138E4">
        <w:rPr>
          <w:i/>
          <w:sz w:val="24"/>
          <w:szCs w:val="24"/>
        </w:rPr>
        <w:t xml:space="preserve">”. </w:t>
      </w:r>
      <w:r w:rsidR="000138E4" w:rsidRPr="007B3ABE">
        <w:rPr>
          <w:sz w:val="24"/>
          <w:szCs w:val="24"/>
        </w:rPr>
        <w:t>Su amplitud de horizontes le llevó a escribir un pequeño tratado sobre la atención a los pobres</w:t>
      </w:r>
      <w:r w:rsidR="00946688">
        <w:rPr>
          <w:sz w:val="24"/>
          <w:szCs w:val="24"/>
        </w:rPr>
        <w:t>:</w:t>
      </w:r>
      <w:r w:rsidR="000138E4" w:rsidRPr="007B3ABE">
        <w:rPr>
          <w:sz w:val="24"/>
          <w:szCs w:val="24"/>
        </w:rPr>
        <w:t xml:space="preserve"> </w:t>
      </w:r>
      <w:r w:rsidR="000138E4" w:rsidRPr="007B3ABE">
        <w:rPr>
          <w:i/>
          <w:sz w:val="24"/>
          <w:szCs w:val="24"/>
        </w:rPr>
        <w:t xml:space="preserve">“De subvencione </w:t>
      </w:r>
      <w:proofErr w:type="spellStart"/>
      <w:r w:rsidR="000138E4" w:rsidRPr="007B3ABE">
        <w:rPr>
          <w:i/>
          <w:sz w:val="24"/>
          <w:szCs w:val="24"/>
        </w:rPr>
        <w:t>pauperum</w:t>
      </w:r>
      <w:proofErr w:type="spellEnd"/>
      <w:r w:rsidR="000138E4" w:rsidRPr="007B3ABE">
        <w:rPr>
          <w:i/>
          <w:sz w:val="24"/>
          <w:szCs w:val="24"/>
        </w:rPr>
        <w:t>”</w:t>
      </w:r>
      <w:r>
        <w:rPr>
          <w:i/>
          <w:sz w:val="24"/>
          <w:szCs w:val="24"/>
        </w:rPr>
        <w:t xml:space="preserve">, </w:t>
      </w:r>
      <w:r w:rsidR="000138E4" w:rsidRPr="007B3ABE">
        <w:rPr>
          <w:sz w:val="24"/>
          <w:szCs w:val="24"/>
        </w:rPr>
        <w:t xml:space="preserve">en un tiempo en que la mendicidad abundaba, carente de cualquier  regulación, lo que le ha hecho ser considerado como precursor de la beneficencia pública de nuestros días. Describe la condición humana diciendo: </w:t>
      </w:r>
      <w:r w:rsidR="000138E4" w:rsidRPr="007B3ABE">
        <w:rPr>
          <w:i/>
          <w:sz w:val="24"/>
          <w:szCs w:val="24"/>
        </w:rPr>
        <w:t>“El</w:t>
      </w:r>
      <w:r w:rsidR="000138E4" w:rsidRPr="000138E4">
        <w:rPr>
          <w:i/>
          <w:sz w:val="24"/>
          <w:szCs w:val="24"/>
        </w:rPr>
        <w:t xml:space="preserve"> Hacedor de todas las cosas, Dios Nuestro Señor, usó de una maravillosa generosidad en la creación y formación del hombre, de modo que ninguna cosa hubiese ni más excelente debajo del cielo ni más grande que él en la redondez de este mundo sublunar que está sometido a su poderío; </w:t>
      </w:r>
      <w:proofErr w:type="spellStart"/>
      <w:r w:rsidR="000138E4" w:rsidRPr="000138E4">
        <w:rPr>
          <w:i/>
          <w:sz w:val="24"/>
          <w:szCs w:val="24"/>
        </w:rPr>
        <w:t>diole</w:t>
      </w:r>
      <w:proofErr w:type="spellEnd"/>
      <w:r w:rsidR="000138E4" w:rsidRPr="000138E4">
        <w:rPr>
          <w:i/>
          <w:sz w:val="24"/>
          <w:szCs w:val="24"/>
        </w:rPr>
        <w:t xml:space="preserve"> cuerpo sano y robusto; muy saludables alimentos, que se hallan en todas partes; entendimiento agudísimo, y un alma toda rectitud y probidad muy a propósito para el comercio y la comunicación de la vida”. </w:t>
      </w:r>
    </w:p>
    <w:p w:rsidR="007B3ABE" w:rsidRDefault="009D7FE9" w:rsidP="000138E4">
      <w:pPr>
        <w:spacing w:before="120" w:after="120"/>
        <w:ind w:left="57" w:right="57" w:firstLine="284"/>
        <w:jc w:val="both"/>
        <w:rPr>
          <w:sz w:val="24"/>
          <w:szCs w:val="24"/>
        </w:rPr>
      </w:pPr>
      <w:r>
        <w:rPr>
          <w:sz w:val="24"/>
          <w:szCs w:val="24"/>
        </w:rPr>
        <w:t>- Otras</w:t>
      </w:r>
      <w:r w:rsidR="000138E4" w:rsidRPr="000138E4">
        <w:rPr>
          <w:sz w:val="24"/>
          <w:szCs w:val="24"/>
        </w:rPr>
        <w:t xml:space="preserve"> aportaciones de su pensamiento pueden </w:t>
      </w:r>
      <w:r>
        <w:rPr>
          <w:sz w:val="24"/>
          <w:szCs w:val="24"/>
        </w:rPr>
        <w:t>enunciarse</w:t>
      </w:r>
      <w:r w:rsidR="000138E4" w:rsidRPr="000138E4">
        <w:rPr>
          <w:sz w:val="24"/>
          <w:szCs w:val="24"/>
        </w:rPr>
        <w:t xml:space="preserve"> de la siguiente manera:</w:t>
      </w:r>
      <w:r>
        <w:rPr>
          <w:sz w:val="24"/>
          <w:szCs w:val="24"/>
        </w:rPr>
        <w:t xml:space="preserve"> d</w:t>
      </w:r>
      <w:r w:rsidR="000138E4" w:rsidRPr="000138E4">
        <w:rPr>
          <w:sz w:val="24"/>
          <w:szCs w:val="24"/>
        </w:rPr>
        <w:t>estacó la importancia del elemento práctico en el conocimiento</w:t>
      </w:r>
      <w:r>
        <w:rPr>
          <w:sz w:val="24"/>
          <w:szCs w:val="24"/>
        </w:rPr>
        <w:t>; f</w:t>
      </w:r>
      <w:r w:rsidR="000138E4" w:rsidRPr="000138E4">
        <w:rPr>
          <w:sz w:val="24"/>
          <w:szCs w:val="24"/>
        </w:rPr>
        <w:t>ormuló una “teoría de las anticipaciones” so</w:t>
      </w:r>
      <w:r>
        <w:rPr>
          <w:sz w:val="24"/>
          <w:szCs w:val="24"/>
        </w:rPr>
        <w:t>bre el origen del conocimiento; e</w:t>
      </w:r>
      <w:r w:rsidR="007B3ABE">
        <w:rPr>
          <w:sz w:val="24"/>
          <w:szCs w:val="24"/>
        </w:rPr>
        <w:t>n la d</w:t>
      </w:r>
      <w:r w:rsidR="000138E4" w:rsidRPr="000138E4">
        <w:rPr>
          <w:sz w:val="24"/>
          <w:szCs w:val="24"/>
        </w:rPr>
        <w:t>octrina del sentido común</w:t>
      </w:r>
      <w:r w:rsidR="007B3ABE">
        <w:rPr>
          <w:sz w:val="24"/>
          <w:szCs w:val="24"/>
        </w:rPr>
        <w:t>, d</w:t>
      </w:r>
      <w:r w:rsidR="000138E4" w:rsidRPr="000138E4">
        <w:rPr>
          <w:sz w:val="24"/>
          <w:szCs w:val="24"/>
        </w:rPr>
        <w:t>istingue entre jui</w:t>
      </w:r>
      <w:r>
        <w:rPr>
          <w:sz w:val="24"/>
          <w:szCs w:val="24"/>
        </w:rPr>
        <w:t>cio natural y juicio artificial; r</w:t>
      </w:r>
      <w:r w:rsidR="000138E4" w:rsidRPr="000138E4">
        <w:rPr>
          <w:sz w:val="24"/>
          <w:szCs w:val="24"/>
        </w:rPr>
        <w:t>ealizó un estudio empírico de la</w:t>
      </w:r>
      <w:r>
        <w:rPr>
          <w:sz w:val="24"/>
          <w:szCs w:val="24"/>
        </w:rPr>
        <w:t xml:space="preserve"> memoria y de los temperamentos; f</w:t>
      </w:r>
      <w:r w:rsidR="000138E4" w:rsidRPr="000138E4">
        <w:rPr>
          <w:sz w:val="24"/>
          <w:szCs w:val="24"/>
        </w:rPr>
        <w:t>ue el precursor de la psicología diferencial y de la orientación profesional</w:t>
      </w:r>
      <w:r>
        <w:rPr>
          <w:sz w:val="24"/>
          <w:szCs w:val="24"/>
        </w:rPr>
        <w:t>; e</w:t>
      </w:r>
      <w:r w:rsidR="000138E4" w:rsidRPr="000138E4">
        <w:rPr>
          <w:sz w:val="24"/>
          <w:szCs w:val="24"/>
        </w:rPr>
        <w:t xml:space="preserve">n el libro III de su obra </w:t>
      </w:r>
      <w:r w:rsidR="000138E4" w:rsidRPr="000138E4">
        <w:rPr>
          <w:i/>
          <w:sz w:val="24"/>
          <w:szCs w:val="24"/>
        </w:rPr>
        <w:t xml:space="preserve">“De anima et vitae” </w:t>
      </w:r>
      <w:r w:rsidR="000138E4" w:rsidRPr="000138E4">
        <w:rPr>
          <w:sz w:val="24"/>
          <w:szCs w:val="24"/>
        </w:rPr>
        <w:t xml:space="preserve">desarrolla una teoría de las pasiones, inspirada en Santo Tomás. </w:t>
      </w:r>
    </w:p>
    <w:p w:rsidR="000138E4" w:rsidRPr="000138E4" w:rsidRDefault="000138E4" w:rsidP="000138E4">
      <w:pPr>
        <w:spacing w:before="120" w:after="120"/>
        <w:ind w:left="57" w:right="57" w:firstLine="284"/>
        <w:jc w:val="both"/>
        <w:rPr>
          <w:sz w:val="24"/>
          <w:szCs w:val="24"/>
        </w:rPr>
      </w:pPr>
      <w:r w:rsidRPr="000138E4">
        <w:rPr>
          <w:sz w:val="24"/>
          <w:szCs w:val="24"/>
        </w:rPr>
        <w:t>En resumen, la doctrina de Vives es típica del Renacimiento y del humanismo renacentista de Erasmo. Su pacifismo, la crítica a la autoridad, la preocupación por el hombre, la vuelta a las fuentes clásicas, la defensa de la observación y la experiencia como método de conocimiento, el espíritu crítico y curioso para todas las novedades, su condición de precursor de doctrinas posteriores, así lo avalan</w:t>
      </w:r>
      <w:r w:rsidRPr="000138E4">
        <w:rPr>
          <w:rStyle w:val="Refdenotaalfinal"/>
          <w:sz w:val="24"/>
          <w:szCs w:val="24"/>
        </w:rPr>
        <w:endnoteReference w:id="3"/>
      </w:r>
      <w:r w:rsidRPr="000138E4">
        <w:rPr>
          <w:sz w:val="24"/>
          <w:szCs w:val="24"/>
        </w:rPr>
        <w:t xml:space="preserve">. </w:t>
      </w:r>
    </w:p>
    <w:p w:rsidR="000138E4" w:rsidRPr="00C848DC" w:rsidRDefault="00946688" w:rsidP="00E667DF">
      <w:pPr>
        <w:spacing w:before="120" w:after="120"/>
        <w:ind w:left="57" w:right="57" w:firstLine="284"/>
        <w:jc w:val="both"/>
        <w:rPr>
          <w:sz w:val="24"/>
          <w:szCs w:val="24"/>
        </w:rPr>
      </w:pPr>
      <w:r>
        <w:rPr>
          <w:sz w:val="24"/>
          <w:szCs w:val="24"/>
        </w:rPr>
        <w:t>E</w:t>
      </w:r>
      <w:r w:rsidR="007B3ABE">
        <w:rPr>
          <w:sz w:val="24"/>
          <w:szCs w:val="24"/>
        </w:rPr>
        <w:t>sta apretada reseña</w:t>
      </w:r>
      <w:r>
        <w:rPr>
          <w:sz w:val="24"/>
          <w:szCs w:val="24"/>
        </w:rPr>
        <w:t>, querido amigo, la tienes desarrollada</w:t>
      </w:r>
      <w:r w:rsidR="007B3ABE">
        <w:rPr>
          <w:sz w:val="24"/>
          <w:szCs w:val="24"/>
        </w:rPr>
        <w:t xml:space="preserve"> en la págin</w:t>
      </w:r>
      <w:r w:rsidR="00B04BB8">
        <w:rPr>
          <w:sz w:val="24"/>
          <w:szCs w:val="24"/>
        </w:rPr>
        <w:t>a</w:t>
      </w:r>
      <w:r w:rsidR="007B3ABE">
        <w:rPr>
          <w:sz w:val="24"/>
          <w:szCs w:val="24"/>
        </w:rPr>
        <w:t xml:space="preserve"> web de la Fundación, sección “Humanismo y Humanistas”</w:t>
      </w:r>
    </w:p>
    <w:p w:rsidR="004B45C6" w:rsidRDefault="004B45C6" w:rsidP="004B45C6">
      <w:pPr>
        <w:spacing w:before="120" w:after="120"/>
        <w:ind w:left="57" w:right="57" w:firstLine="284"/>
        <w:jc w:val="both"/>
        <w:rPr>
          <w:sz w:val="24"/>
          <w:szCs w:val="24"/>
        </w:rPr>
      </w:pPr>
      <w:r>
        <w:rPr>
          <w:sz w:val="24"/>
          <w:szCs w:val="24"/>
        </w:rPr>
        <w:t xml:space="preserve">Recibe un cordial abrazo de </w:t>
      </w:r>
    </w:p>
    <w:p w:rsidR="004B45C6" w:rsidRDefault="004B45C6" w:rsidP="004B45C6">
      <w:pPr>
        <w:jc w:val="right"/>
        <w:rPr>
          <w:sz w:val="24"/>
          <w:szCs w:val="24"/>
        </w:rPr>
      </w:pPr>
      <w:r>
        <w:rPr>
          <w:sz w:val="24"/>
          <w:szCs w:val="24"/>
        </w:rPr>
        <w:t>Fernando Díez Moreno</w:t>
      </w:r>
    </w:p>
    <w:p w:rsidR="004B45C6" w:rsidRDefault="00EA1876" w:rsidP="00EA1876">
      <w:pPr>
        <w:jc w:val="center"/>
        <w:rPr>
          <w:rFonts w:ascii="TimesNewRomanPS" w:hAnsi="TimesNewRomanPS" w:cs="TimesNewRomanPS"/>
          <w:b/>
          <w:color w:val="808080"/>
          <w:sz w:val="22"/>
          <w:szCs w:val="22"/>
        </w:rPr>
      </w:pPr>
      <w:r>
        <w:rPr>
          <w:sz w:val="24"/>
          <w:szCs w:val="24"/>
        </w:rPr>
        <w:t xml:space="preserve">                                                                                           </w:t>
      </w:r>
      <w:r w:rsidR="00372578">
        <w:rPr>
          <w:sz w:val="24"/>
          <w:szCs w:val="24"/>
        </w:rPr>
        <w:t xml:space="preserve"> </w:t>
      </w:r>
      <w:r w:rsidR="004B45C6">
        <w:rPr>
          <w:sz w:val="24"/>
          <w:szCs w:val="24"/>
        </w:rPr>
        <w:t xml:space="preserve">Vicepresidente </w:t>
      </w:r>
    </w:p>
    <w:p w:rsidR="004B45C6" w:rsidRDefault="004B45C6" w:rsidP="00E667DF">
      <w:pPr>
        <w:autoSpaceDE w:val="0"/>
        <w:autoSpaceDN w:val="0"/>
        <w:adjustRightInd w:val="0"/>
        <w:jc w:val="center"/>
        <w:rPr>
          <w:b/>
          <w:color w:val="808080"/>
          <w:sz w:val="28"/>
          <w:szCs w:val="28"/>
        </w:rPr>
      </w:pPr>
    </w:p>
    <w:p w:rsidR="00E667DF" w:rsidRPr="001121AD" w:rsidRDefault="00E667DF" w:rsidP="00E667DF">
      <w:pPr>
        <w:autoSpaceDE w:val="0"/>
        <w:autoSpaceDN w:val="0"/>
        <w:adjustRightInd w:val="0"/>
        <w:jc w:val="center"/>
        <w:rPr>
          <w:b/>
          <w:color w:val="808080"/>
          <w:sz w:val="22"/>
          <w:szCs w:val="22"/>
        </w:rPr>
      </w:pPr>
      <w:r w:rsidRPr="001121AD">
        <w:rPr>
          <w:b/>
          <w:color w:val="808080"/>
          <w:sz w:val="22"/>
          <w:szCs w:val="22"/>
        </w:rPr>
        <w:t xml:space="preserve">Puerto de los Leones, 1 - Of. 314-315 • 28220 </w:t>
      </w:r>
      <w:proofErr w:type="spellStart"/>
      <w:r w:rsidRPr="001121AD">
        <w:rPr>
          <w:b/>
          <w:color w:val="808080"/>
          <w:sz w:val="22"/>
          <w:szCs w:val="22"/>
        </w:rPr>
        <w:t>Majadahonda</w:t>
      </w:r>
      <w:proofErr w:type="spellEnd"/>
      <w:r w:rsidRPr="001121AD">
        <w:rPr>
          <w:b/>
          <w:color w:val="808080"/>
          <w:sz w:val="22"/>
          <w:szCs w:val="22"/>
        </w:rPr>
        <w:t xml:space="preserve"> - Madrid</w:t>
      </w:r>
    </w:p>
    <w:p w:rsidR="00E667DF" w:rsidRPr="001121AD" w:rsidRDefault="00E667DF" w:rsidP="00E667DF">
      <w:pPr>
        <w:autoSpaceDE w:val="0"/>
        <w:autoSpaceDN w:val="0"/>
        <w:adjustRightInd w:val="0"/>
        <w:jc w:val="center"/>
        <w:rPr>
          <w:b/>
          <w:color w:val="808080"/>
          <w:sz w:val="22"/>
          <w:szCs w:val="22"/>
        </w:rPr>
      </w:pPr>
      <w:r w:rsidRPr="001121AD">
        <w:rPr>
          <w:b/>
          <w:color w:val="808080"/>
          <w:sz w:val="22"/>
          <w:szCs w:val="22"/>
        </w:rPr>
        <w:t>Teléfono 91 533 83 10 • Móvil 671 694 777 • Fax 91 634 74 99</w:t>
      </w:r>
    </w:p>
    <w:p w:rsidR="007144AC" w:rsidRPr="001121AD" w:rsidRDefault="0030002A" w:rsidP="00E667DF">
      <w:pPr>
        <w:jc w:val="center"/>
        <w:rPr>
          <w:sz w:val="22"/>
          <w:szCs w:val="22"/>
        </w:rPr>
      </w:pPr>
      <w:r>
        <w:rPr>
          <w:b/>
          <w:color w:val="808080"/>
          <w:sz w:val="22"/>
          <w:szCs w:val="22"/>
        </w:rPr>
        <w:t>www.fundaciontomasmoro.es</w:t>
      </w:r>
      <w:r w:rsidR="00E667DF" w:rsidRPr="001121AD">
        <w:rPr>
          <w:b/>
          <w:color w:val="808080"/>
          <w:sz w:val="22"/>
          <w:szCs w:val="22"/>
        </w:rPr>
        <w:t xml:space="preserve"> • fundaciontomasmoro@wanadoo.es</w:t>
      </w:r>
    </w:p>
    <w:sectPr w:rsidR="007144AC" w:rsidRPr="001121AD" w:rsidSect="00CE5CDD">
      <w:endnotePr>
        <w:numFmt w:val="decimal"/>
      </w:endnotePr>
      <w:pgSz w:w="11906" w:h="16838"/>
      <w:pgMar w:top="1417" w:right="1701"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DD0" w:rsidRDefault="00F76DD0" w:rsidP="00CB3816">
      <w:r>
        <w:separator/>
      </w:r>
    </w:p>
  </w:endnote>
  <w:endnote w:type="continuationSeparator" w:id="0">
    <w:p w:rsidR="00F76DD0" w:rsidRDefault="00F76DD0" w:rsidP="00CB3816">
      <w:r>
        <w:continuationSeparator/>
      </w:r>
    </w:p>
  </w:endnote>
  <w:endnote w:id="1">
    <w:p w:rsidR="00CB3816" w:rsidRDefault="00CB3816" w:rsidP="00EB46B2">
      <w:pPr>
        <w:pStyle w:val="Textonotapie"/>
      </w:pPr>
      <w:r>
        <w:rPr>
          <w:rStyle w:val="Refdenotaalfinal"/>
        </w:rPr>
        <w:endnoteRef/>
      </w:r>
      <w:r>
        <w:t xml:space="preserve"> En el Manual de la “Nueva gramática de la lengua española” publicado por la Real Academia Española, (</w:t>
      </w:r>
      <w:proofErr w:type="spellStart"/>
      <w:r>
        <w:t>pag</w:t>
      </w:r>
      <w:proofErr w:type="spellEnd"/>
      <w:r>
        <w:t xml:space="preserve">. 25, Madrid, 2010), se dice que en el lenguaje político, administrativo y periodístico se percibe una tendencia a construir series coordinadas constituidas por sustantivos de personas que manifiestan los dos géneros (amigos/amigas, diputados/diputadas, alumnos/alumnas), el circunloquio es innecesario  puesto que el empleo del género no marcado (masculino) es suficientemente explícito para abarcar a los individuos de uno y otro sexo. </w:t>
      </w:r>
    </w:p>
  </w:endnote>
  <w:endnote w:id="2">
    <w:p w:rsidR="000138E4" w:rsidRPr="008D3F2A" w:rsidRDefault="000138E4" w:rsidP="000138E4">
      <w:pPr>
        <w:pStyle w:val="Textonotaalfinal"/>
      </w:pPr>
      <w:r w:rsidRPr="008A6487">
        <w:rPr>
          <w:rStyle w:val="Refdenotaalfinal"/>
          <w:b/>
        </w:rPr>
        <w:endnoteRef/>
      </w:r>
      <w:r w:rsidRPr="008A6487">
        <w:rPr>
          <w:b/>
        </w:rPr>
        <w:t xml:space="preserve"> </w:t>
      </w:r>
      <w:r w:rsidRPr="008D3F2A">
        <w:t xml:space="preserve">V. Juan </w:t>
      </w:r>
      <w:proofErr w:type="spellStart"/>
      <w:r w:rsidRPr="008D3F2A">
        <w:t>Belda</w:t>
      </w:r>
      <w:proofErr w:type="spellEnd"/>
      <w:r w:rsidRPr="008D3F2A">
        <w:t xml:space="preserve"> </w:t>
      </w:r>
      <w:proofErr w:type="spellStart"/>
      <w:r w:rsidRPr="008D3F2A">
        <w:t>Plans</w:t>
      </w:r>
      <w:proofErr w:type="spellEnd"/>
      <w:r w:rsidRPr="008D3F2A">
        <w:t>, “Grandes personajes del siglo de oro español”. Ed. Palabra, Madrid 2013, págs. 413 y ss.</w:t>
      </w:r>
    </w:p>
  </w:endnote>
  <w:endnote w:id="3">
    <w:p w:rsidR="000138E4" w:rsidRPr="008D3F2A" w:rsidRDefault="000138E4" w:rsidP="000138E4">
      <w:pPr>
        <w:pStyle w:val="Textonotaalfinal"/>
      </w:pPr>
      <w:r w:rsidRPr="008D3F2A">
        <w:rPr>
          <w:rStyle w:val="Refdenotaalfinal"/>
        </w:rPr>
        <w:endnoteRef/>
      </w:r>
      <w:r w:rsidRPr="008D3F2A">
        <w:t xml:space="preserve"> Véase también la referencia de Gonzalo Díaz </w:t>
      </w:r>
      <w:proofErr w:type="spellStart"/>
      <w:r w:rsidRPr="008D3F2A">
        <w:t>Díaz</w:t>
      </w:r>
      <w:proofErr w:type="spellEnd"/>
      <w:r w:rsidRPr="008D3F2A">
        <w:t xml:space="preserve"> en “Hombres y documentos de la filosofía española”, Ed. CSIC, Tomo VII, págs. 907 y </w:t>
      </w:r>
      <w:proofErr w:type="spellStart"/>
      <w:r w:rsidRPr="008D3F2A">
        <w:t>ss</w:t>
      </w:r>
      <w:proofErr w:type="spellEnd"/>
      <w:r w:rsidRPr="008D3F2A">
        <w:t>, en la que se mencionan 112 obras, y 403 estudios sobre el autor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DD0" w:rsidRDefault="00F76DD0" w:rsidP="00CB3816">
      <w:r>
        <w:separator/>
      </w:r>
    </w:p>
  </w:footnote>
  <w:footnote w:type="continuationSeparator" w:id="0">
    <w:p w:rsidR="00F76DD0" w:rsidRDefault="00F76DD0" w:rsidP="00CB3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F4946"/>
    <w:multiLevelType w:val="hybridMultilevel"/>
    <w:tmpl w:val="23B2AC9A"/>
    <w:lvl w:ilvl="0" w:tplc="C164974E">
      <w:start w:val="1"/>
      <w:numFmt w:val="decimal"/>
      <w:lvlText w:val="%1."/>
      <w:lvlJc w:val="left"/>
      <w:pPr>
        <w:ind w:left="701" w:hanging="360"/>
      </w:pPr>
      <w:rPr>
        <w:rFonts w:hint="default"/>
      </w:rPr>
    </w:lvl>
    <w:lvl w:ilvl="1" w:tplc="0C0A0019" w:tentative="1">
      <w:start w:val="1"/>
      <w:numFmt w:val="lowerLetter"/>
      <w:lvlText w:val="%2."/>
      <w:lvlJc w:val="left"/>
      <w:pPr>
        <w:ind w:left="1421" w:hanging="360"/>
      </w:pPr>
    </w:lvl>
    <w:lvl w:ilvl="2" w:tplc="0C0A001B" w:tentative="1">
      <w:start w:val="1"/>
      <w:numFmt w:val="lowerRoman"/>
      <w:lvlText w:val="%3."/>
      <w:lvlJc w:val="right"/>
      <w:pPr>
        <w:ind w:left="2141" w:hanging="180"/>
      </w:pPr>
    </w:lvl>
    <w:lvl w:ilvl="3" w:tplc="0C0A000F" w:tentative="1">
      <w:start w:val="1"/>
      <w:numFmt w:val="decimal"/>
      <w:lvlText w:val="%4."/>
      <w:lvlJc w:val="left"/>
      <w:pPr>
        <w:ind w:left="2861" w:hanging="360"/>
      </w:pPr>
    </w:lvl>
    <w:lvl w:ilvl="4" w:tplc="0C0A0019" w:tentative="1">
      <w:start w:val="1"/>
      <w:numFmt w:val="lowerLetter"/>
      <w:lvlText w:val="%5."/>
      <w:lvlJc w:val="left"/>
      <w:pPr>
        <w:ind w:left="3581" w:hanging="360"/>
      </w:pPr>
    </w:lvl>
    <w:lvl w:ilvl="5" w:tplc="0C0A001B" w:tentative="1">
      <w:start w:val="1"/>
      <w:numFmt w:val="lowerRoman"/>
      <w:lvlText w:val="%6."/>
      <w:lvlJc w:val="right"/>
      <w:pPr>
        <w:ind w:left="4301" w:hanging="180"/>
      </w:pPr>
    </w:lvl>
    <w:lvl w:ilvl="6" w:tplc="0C0A000F" w:tentative="1">
      <w:start w:val="1"/>
      <w:numFmt w:val="decimal"/>
      <w:lvlText w:val="%7."/>
      <w:lvlJc w:val="left"/>
      <w:pPr>
        <w:ind w:left="5021" w:hanging="360"/>
      </w:pPr>
    </w:lvl>
    <w:lvl w:ilvl="7" w:tplc="0C0A0019" w:tentative="1">
      <w:start w:val="1"/>
      <w:numFmt w:val="lowerLetter"/>
      <w:lvlText w:val="%8."/>
      <w:lvlJc w:val="left"/>
      <w:pPr>
        <w:ind w:left="5741" w:hanging="360"/>
      </w:pPr>
    </w:lvl>
    <w:lvl w:ilvl="8" w:tplc="0C0A001B" w:tentative="1">
      <w:start w:val="1"/>
      <w:numFmt w:val="lowerRoman"/>
      <w:lvlText w:val="%9."/>
      <w:lvlJc w:val="right"/>
      <w:pPr>
        <w:ind w:left="6461" w:hanging="180"/>
      </w:pPr>
    </w:lvl>
  </w:abstractNum>
  <w:abstractNum w:abstractNumId="1">
    <w:nsid w:val="4DB9030B"/>
    <w:multiLevelType w:val="hybridMultilevel"/>
    <w:tmpl w:val="09181D98"/>
    <w:lvl w:ilvl="0" w:tplc="ED58E86C">
      <w:numFmt w:val="bullet"/>
      <w:lvlText w:val="-"/>
      <w:lvlJc w:val="left"/>
      <w:pPr>
        <w:ind w:left="701" w:hanging="360"/>
      </w:pPr>
      <w:rPr>
        <w:rFonts w:ascii="Times New Roman" w:eastAsiaTheme="minorHAnsi" w:hAnsi="Times New Roman" w:cs="Times New Roman" w:hint="default"/>
      </w:rPr>
    </w:lvl>
    <w:lvl w:ilvl="1" w:tplc="0C0A0003" w:tentative="1">
      <w:start w:val="1"/>
      <w:numFmt w:val="bullet"/>
      <w:lvlText w:val="o"/>
      <w:lvlJc w:val="left"/>
      <w:pPr>
        <w:ind w:left="1421" w:hanging="360"/>
      </w:pPr>
      <w:rPr>
        <w:rFonts w:ascii="Courier New" w:hAnsi="Courier New" w:cs="Courier New" w:hint="default"/>
      </w:rPr>
    </w:lvl>
    <w:lvl w:ilvl="2" w:tplc="0C0A0005" w:tentative="1">
      <w:start w:val="1"/>
      <w:numFmt w:val="bullet"/>
      <w:lvlText w:val=""/>
      <w:lvlJc w:val="left"/>
      <w:pPr>
        <w:ind w:left="2141" w:hanging="360"/>
      </w:pPr>
      <w:rPr>
        <w:rFonts w:ascii="Wingdings" w:hAnsi="Wingdings" w:hint="default"/>
      </w:rPr>
    </w:lvl>
    <w:lvl w:ilvl="3" w:tplc="0C0A0001" w:tentative="1">
      <w:start w:val="1"/>
      <w:numFmt w:val="bullet"/>
      <w:lvlText w:val=""/>
      <w:lvlJc w:val="left"/>
      <w:pPr>
        <w:ind w:left="2861" w:hanging="360"/>
      </w:pPr>
      <w:rPr>
        <w:rFonts w:ascii="Symbol" w:hAnsi="Symbol" w:hint="default"/>
      </w:rPr>
    </w:lvl>
    <w:lvl w:ilvl="4" w:tplc="0C0A0003" w:tentative="1">
      <w:start w:val="1"/>
      <w:numFmt w:val="bullet"/>
      <w:lvlText w:val="o"/>
      <w:lvlJc w:val="left"/>
      <w:pPr>
        <w:ind w:left="3581" w:hanging="360"/>
      </w:pPr>
      <w:rPr>
        <w:rFonts w:ascii="Courier New" w:hAnsi="Courier New" w:cs="Courier New" w:hint="default"/>
      </w:rPr>
    </w:lvl>
    <w:lvl w:ilvl="5" w:tplc="0C0A0005" w:tentative="1">
      <w:start w:val="1"/>
      <w:numFmt w:val="bullet"/>
      <w:lvlText w:val=""/>
      <w:lvlJc w:val="left"/>
      <w:pPr>
        <w:ind w:left="4301" w:hanging="360"/>
      </w:pPr>
      <w:rPr>
        <w:rFonts w:ascii="Wingdings" w:hAnsi="Wingdings" w:hint="default"/>
      </w:rPr>
    </w:lvl>
    <w:lvl w:ilvl="6" w:tplc="0C0A0001" w:tentative="1">
      <w:start w:val="1"/>
      <w:numFmt w:val="bullet"/>
      <w:lvlText w:val=""/>
      <w:lvlJc w:val="left"/>
      <w:pPr>
        <w:ind w:left="5021" w:hanging="360"/>
      </w:pPr>
      <w:rPr>
        <w:rFonts w:ascii="Symbol" w:hAnsi="Symbol" w:hint="default"/>
      </w:rPr>
    </w:lvl>
    <w:lvl w:ilvl="7" w:tplc="0C0A0003" w:tentative="1">
      <w:start w:val="1"/>
      <w:numFmt w:val="bullet"/>
      <w:lvlText w:val="o"/>
      <w:lvlJc w:val="left"/>
      <w:pPr>
        <w:ind w:left="5741" w:hanging="360"/>
      </w:pPr>
      <w:rPr>
        <w:rFonts w:ascii="Courier New" w:hAnsi="Courier New" w:cs="Courier New" w:hint="default"/>
      </w:rPr>
    </w:lvl>
    <w:lvl w:ilvl="8" w:tplc="0C0A0005" w:tentative="1">
      <w:start w:val="1"/>
      <w:numFmt w:val="bullet"/>
      <w:lvlText w:val=""/>
      <w:lvlJc w:val="left"/>
      <w:pPr>
        <w:ind w:left="646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rsids>
    <w:rsidRoot w:val="00E667DF"/>
    <w:rsid w:val="000138E4"/>
    <w:rsid w:val="0005077D"/>
    <w:rsid w:val="000A4658"/>
    <w:rsid w:val="000F3BEE"/>
    <w:rsid w:val="001121AD"/>
    <w:rsid w:val="00120EBC"/>
    <w:rsid w:val="001D4926"/>
    <w:rsid w:val="00215165"/>
    <w:rsid w:val="00266445"/>
    <w:rsid w:val="0026678C"/>
    <w:rsid w:val="002A27C4"/>
    <w:rsid w:val="0030002A"/>
    <w:rsid w:val="00372578"/>
    <w:rsid w:val="004825CF"/>
    <w:rsid w:val="004963F8"/>
    <w:rsid w:val="004B45C6"/>
    <w:rsid w:val="0051768C"/>
    <w:rsid w:val="006222C6"/>
    <w:rsid w:val="006B5DFB"/>
    <w:rsid w:val="006D68B5"/>
    <w:rsid w:val="006F5C1B"/>
    <w:rsid w:val="007069C2"/>
    <w:rsid w:val="007144AC"/>
    <w:rsid w:val="00735A34"/>
    <w:rsid w:val="007B3ABE"/>
    <w:rsid w:val="007D6E01"/>
    <w:rsid w:val="007F1BCA"/>
    <w:rsid w:val="00844D8B"/>
    <w:rsid w:val="00895B0F"/>
    <w:rsid w:val="00946688"/>
    <w:rsid w:val="009D7FE9"/>
    <w:rsid w:val="00A31CF2"/>
    <w:rsid w:val="00A8363E"/>
    <w:rsid w:val="00A95FAF"/>
    <w:rsid w:val="00AE6D2E"/>
    <w:rsid w:val="00B04BB8"/>
    <w:rsid w:val="00B512A2"/>
    <w:rsid w:val="00C36D49"/>
    <w:rsid w:val="00C848DC"/>
    <w:rsid w:val="00CA7CC1"/>
    <w:rsid w:val="00CB3816"/>
    <w:rsid w:val="00D113C2"/>
    <w:rsid w:val="00E667DF"/>
    <w:rsid w:val="00EA1876"/>
    <w:rsid w:val="00EB46B2"/>
    <w:rsid w:val="00F52194"/>
    <w:rsid w:val="00F61498"/>
    <w:rsid w:val="00F76D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D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67DF"/>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7DF"/>
    <w:rPr>
      <w:rFonts w:ascii="Tahoma" w:eastAsia="Times New Roman" w:hAnsi="Tahoma" w:cs="Tahoma"/>
      <w:sz w:val="16"/>
      <w:szCs w:val="16"/>
      <w:lang w:eastAsia="es-ES"/>
    </w:rPr>
  </w:style>
  <w:style w:type="paragraph" w:styleId="Textonotapie">
    <w:name w:val="footnote text"/>
    <w:basedOn w:val="Normal"/>
    <w:link w:val="TextonotapieCar"/>
    <w:uiPriority w:val="99"/>
    <w:unhideWhenUsed/>
    <w:rsid w:val="00CB3816"/>
  </w:style>
  <w:style w:type="character" w:customStyle="1" w:styleId="TextonotapieCar">
    <w:name w:val="Texto nota pie Car"/>
    <w:basedOn w:val="Fuentedeprrafopredeter"/>
    <w:link w:val="Textonotapie"/>
    <w:uiPriority w:val="99"/>
    <w:rsid w:val="00CB381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B3816"/>
    <w:rPr>
      <w:vertAlign w:val="superscript"/>
    </w:rPr>
  </w:style>
  <w:style w:type="paragraph" w:styleId="Textonotaalfinal">
    <w:name w:val="endnote text"/>
    <w:basedOn w:val="Normal"/>
    <w:link w:val="TextonotaalfinalCar"/>
    <w:uiPriority w:val="99"/>
    <w:semiHidden/>
    <w:unhideWhenUsed/>
    <w:rsid w:val="00CB3816"/>
  </w:style>
  <w:style w:type="character" w:customStyle="1" w:styleId="TextonotaalfinalCar">
    <w:name w:val="Texto nota al final Car"/>
    <w:basedOn w:val="Fuentedeprrafopredeter"/>
    <w:link w:val="Textonotaalfinal"/>
    <w:uiPriority w:val="99"/>
    <w:semiHidden/>
    <w:rsid w:val="00CB3816"/>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CB3816"/>
    <w:rPr>
      <w:vertAlign w:val="superscript"/>
    </w:rPr>
  </w:style>
  <w:style w:type="character" w:styleId="Hipervnculo">
    <w:name w:val="Hyperlink"/>
    <w:basedOn w:val="Fuentedeprrafopredeter"/>
    <w:uiPriority w:val="99"/>
    <w:unhideWhenUsed/>
    <w:rsid w:val="0026678C"/>
    <w:rPr>
      <w:color w:val="0000FF" w:themeColor="hyperlink"/>
      <w:u w:val="single"/>
    </w:rPr>
  </w:style>
  <w:style w:type="character" w:styleId="Hipervnculovisitado">
    <w:name w:val="FollowedHyperlink"/>
    <w:basedOn w:val="Fuentedeprrafopredeter"/>
    <w:uiPriority w:val="99"/>
    <w:semiHidden/>
    <w:unhideWhenUsed/>
    <w:rsid w:val="0026678C"/>
    <w:rPr>
      <w:color w:val="800080" w:themeColor="followedHyperlink"/>
      <w:u w:val="single"/>
    </w:rPr>
  </w:style>
  <w:style w:type="paragraph" w:styleId="Prrafodelista">
    <w:name w:val="List Paragraph"/>
    <w:basedOn w:val="Normal"/>
    <w:uiPriority w:val="34"/>
    <w:qFormat/>
    <w:rsid w:val="000138E4"/>
    <w:pPr>
      <w:spacing w:before="120" w:after="120"/>
      <w:ind w:left="720" w:right="57" w:firstLine="284"/>
      <w:contextualSpacing/>
      <w:jc w:val="both"/>
    </w:pPr>
    <w:rPr>
      <w:rFonts w:eastAsiaTheme="minorHAnsi"/>
      <w:sz w:val="24"/>
      <w:szCs w:val="48"/>
      <w:lang w:eastAsia="en-US"/>
    </w:rPr>
  </w:style>
</w:styles>
</file>

<file path=word/webSettings.xml><?xml version="1.0" encoding="utf-8"?>
<w:webSettings xmlns:r="http://schemas.openxmlformats.org/officeDocument/2006/relationships" xmlns:w="http://schemas.openxmlformats.org/wordprocessingml/2006/main">
  <w:divs>
    <w:div w:id="17339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9940-429D-4182-A645-F0219203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846</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Fernando</cp:lastModifiedBy>
  <cp:revision>3</cp:revision>
  <dcterms:created xsi:type="dcterms:W3CDTF">2013-07-12T15:52:00Z</dcterms:created>
  <dcterms:modified xsi:type="dcterms:W3CDTF">2014-07-12T10:26:00Z</dcterms:modified>
</cp:coreProperties>
</file>