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F" w:rsidRPr="004963F8" w:rsidRDefault="00EA0B95" w:rsidP="00E667DF">
      <w:pPr>
        <w:autoSpaceDE w:val="0"/>
        <w:autoSpaceDN w:val="0"/>
        <w:adjustRightInd w:val="0"/>
        <w:ind w:left="4956" w:right="-676" w:firstLine="170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pt;width:2in;height:90pt;z-index:251660288" stroked="f">
            <v:textbox>
              <w:txbxContent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48"/>
                      <w:szCs w:val="48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48"/>
                      <w:szCs w:val="48"/>
                    </w:rPr>
                    <w:t>FTM</w:t>
                  </w:r>
                </w:p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FUNDACIÓN</w:t>
                  </w:r>
                </w:p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TOMÁS</w:t>
                  </w:r>
                </w:p>
                <w:p w:rsidR="00E667DF" w:rsidRPr="0093601E" w:rsidRDefault="00E667DF" w:rsidP="00E667DF">
                  <w:pPr>
                    <w:rPr>
                      <w:b/>
                      <w:color w:val="FFCC00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MORO</w:t>
                  </w:r>
                </w:p>
              </w:txbxContent>
            </v:textbox>
          </v:shape>
        </w:pict>
      </w:r>
      <w:r w:rsidR="00E667DF" w:rsidRPr="004963F8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072204" cy="1247775"/>
            <wp:effectExtent l="19050" t="0" r="424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0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DF" w:rsidRPr="004963F8" w:rsidRDefault="00E667DF" w:rsidP="00E667DF">
      <w:pPr>
        <w:rPr>
          <w:sz w:val="28"/>
          <w:szCs w:val="28"/>
        </w:rPr>
      </w:pPr>
    </w:p>
    <w:p w:rsidR="004B45C6" w:rsidRDefault="004B45C6" w:rsidP="004B45C6">
      <w:pPr>
        <w:spacing w:before="120" w:after="120"/>
        <w:ind w:right="57"/>
        <w:jc w:val="both"/>
        <w:rPr>
          <w:b/>
          <w:sz w:val="24"/>
          <w:szCs w:val="24"/>
          <w:u w:val="single"/>
        </w:rPr>
      </w:pPr>
    </w:p>
    <w:p w:rsidR="00F61498" w:rsidRPr="005E2F2E" w:rsidRDefault="00F61498" w:rsidP="004B45C6">
      <w:pPr>
        <w:spacing w:before="120" w:after="120"/>
        <w:ind w:right="57"/>
        <w:jc w:val="both"/>
        <w:rPr>
          <w:b/>
          <w:sz w:val="24"/>
          <w:szCs w:val="24"/>
          <w:u w:val="single"/>
        </w:rPr>
      </w:pPr>
      <w:r w:rsidRPr="005E2F2E">
        <w:rPr>
          <w:b/>
          <w:sz w:val="24"/>
          <w:szCs w:val="24"/>
          <w:u w:val="single"/>
        </w:rPr>
        <w:t>CARTAS SOBRE “HUMANISMO Y POLÍTICA”</w:t>
      </w:r>
    </w:p>
    <w:p w:rsidR="00E667DF" w:rsidRPr="004963F8" w:rsidRDefault="00E667DF" w:rsidP="00E667DF">
      <w:pPr>
        <w:spacing w:before="120" w:after="120"/>
        <w:ind w:left="57" w:right="57" w:firstLine="284"/>
        <w:jc w:val="both"/>
        <w:rPr>
          <w:sz w:val="28"/>
          <w:szCs w:val="28"/>
        </w:rPr>
      </w:pPr>
    </w:p>
    <w:p w:rsidR="00F61498" w:rsidRPr="00CB3816" w:rsidRDefault="00F61498" w:rsidP="00F61498">
      <w:r w:rsidRPr="005E2F2E">
        <w:rPr>
          <w:b/>
          <w:sz w:val="24"/>
          <w:szCs w:val="24"/>
          <w:u w:val="single"/>
        </w:rPr>
        <w:t xml:space="preserve"> Carta</w:t>
      </w:r>
      <w:r w:rsidR="00ED517C">
        <w:rPr>
          <w:b/>
          <w:sz w:val="24"/>
          <w:szCs w:val="24"/>
          <w:u w:val="single"/>
        </w:rPr>
        <w:t xml:space="preserve"> 88</w:t>
      </w:r>
      <w:r w:rsidR="00A0420A">
        <w:rPr>
          <w:b/>
          <w:sz w:val="24"/>
          <w:szCs w:val="24"/>
          <w:u w:val="single"/>
        </w:rPr>
        <w:t>ª</w:t>
      </w:r>
      <w:r w:rsidR="00CB3816">
        <w:rPr>
          <w:b/>
          <w:sz w:val="24"/>
          <w:szCs w:val="24"/>
        </w:rPr>
        <w:t>:</w:t>
      </w:r>
      <w:r w:rsidR="00C848DC">
        <w:rPr>
          <w:b/>
          <w:sz w:val="24"/>
          <w:szCs w:val="24"/>
        </w:rPr>
        <w:t xml:space="preserve"> </w:t>
      </w:r>
      <w:r w:rsidR="006B5DFB">
        <w:rPr>
          <w:b/>
          <w:sz w:val="24"/>
          <w:szCs w:val="24"/>
        </w:rPr>
        <w:t xml:space="preserve">Humanismo y </w:t>
      </w:r>
      <w:r w:rsidR="00A0420A">
        <w:rPr>
          <w:b/>
          <w:sz w:val="24"/>
          <w:szCs w:val="24"/>
        </w:rPr>
        <w:t>cooperación internacional</w:t>
      </w:r>
      <w:r w:rsidR="006B5DFB">
        <w:rPr>
          <w:b/>
          <w:sz w:val="24"/>
          <w:szCs w:val="24"/>
        </w:rPr>
        <w:t>.</w:t>
      </w:r>
    </w:p>
    <w:p w:rsidR="0005077D" w:rsidRDefault="0005077D" w:rsidP="00E667DF">
      <w:pPr>
        <w:spacing w:before="120" w:after="120"/>
        <w:ind w:left="57" w:right="57" w:firstLine="284"/>
        <w:jc w:val="both"/>
        <w:rPr>
          <w:sz w:val="28"/>
          <w:szCs w:val="28"/>
        </w:rPr>
      </w:pPr>
    </w:p>
    <w:p w:rsidR="0005077D" w:rsidRDefault="0005077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 w:rsidRPr="00C848DC">
        <w:rPr>
          <w:sz w:val="24"/>
          <w:szCs w:val="24"/>
        </w:rPr>
        <w:t>Querido amigo</w:t>
      </w:r>
      <w:r w:rsidR="00CB3816" w:rsidRPr="00C848DC">
        <w:rPr>
          <w:rStyle w:val="Refdenotaalfinal"/>
          <w:sz w:val="24"/>
          <w:szCs w:val="24"/>
        </w:rPr>
        <w:endnoteReference w:id="2"/>
      </w:r>
      <w:r w:rsidRPr="00C848DC">
        <w:rPr>
          <w:sz w:val="24"/>
          <w:szCs w:val="24"/>
        </w:rPr>
        <w:t xml:space="preserve">: </w:t>
      </w:r>
    </w:p>
    <w:p w:rsidR="00E57077" w:rsidRDefault="00667ACF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El humanismo no es algo doméstico, que deba permanecer encerrado en las fronteras nacionales. Entre otras muchas, la cooperación internacional es una forma de hacer política social en el exterior</w:t>
      </w:r>
      <w:r w:rsidR="00B51FA2">
        <w:rPr>
          <w:sz w:val="24"/>
          <w:szCs w:val="24"/>
        </w:rPr>
        <w:t>, es decir, ayudar al desarrollo de los países más pobres. Ahora se llama solidaridad, pero también se puede llamar caridad o amor al prójimo.</w:t>
      </w:r>
      <w:r>
        <w:rPr>
          <w:sz w:val="24"/>
          <w:szCs w:val="24"/>
        </w:rPr>
        <w:t xml:space="preserve"> Creo que merece la pena que nos detengamos en esta carta a comentar este fenómeno que ha alcanzado en los últimos tiempos un notable incremento, paralelo al desarrollo de las </w:t>
      </w:r>
      <w:proofErr w:type="spellStart"/>
      <w:r>
        <w:rPr>
          <w:sz w:val="24"/>
          <w:szCs w:val="24"/>
        </w:rPr>
        <w:t>ONGs</w:t>
      </w:r>
      <w:proofErr w:type="spellEnd"/>
      <w:r>
        <w:rPr>
          <w:sz w:val="24"/>
          <w:szCs w:val="24"/>
        </w:rPr>
        <w:t>, que suelen ser los ejecutores de aquella cooperación.</w:t>
      </w:r>
    </w:p>
    <w:p w:rsidR="00667ACF" w:rsidRDefault="00667ACF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No me estoy refiriendo a aquellas operaciones englobadas bajo la denominación de “ayuda al desarrollo”, por virtud de las cuales se concede por los Gobiernos un crédito a un país en vías de desarrollo (que casi nunca devuelven) para que compre determinados productos o servicios a las empresas del país acreedor. Estas operaciones tienes aspectos positivos y negativos en las relaciones bilaterales entre ambos países y en las relaciones con las empresas nacionales, pero no voy a entrar en ellos.</w:t>
      </w:r>
    </w:p>
    <w:p w:rsidR="00667ACF" w:rsidRDefault="00667ACF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cooperación internacional a que me refiero es la gratuita, la que no exige contrapartida </w:t>
      </w:r>
      <w:r w:rsidR="006D0DAE">
        <w:rPr>
          <w:sz w:val="24"/>
          <w:szCs w:val="24"/>
        </w:rPr>
        <w:t>y que, para el humanismo</w:t>
      </w:r>
      <w:r w:rsidR="004E102C">
        <w:rPr>
          <w:sz w:val="24"/>
          <w:szCs w:val="24"/>
        </w:rPr>
        <w:t>, reúne estas cuatro características:</w:t>
      </w:r>
    </w:p>
    <w:p w:rsidR="004E102C" w:rsidRDefault="004E102C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1ª. Tiene un profundo significado moral. Se trata de ayudas a países más pobres y más necesitado por imperativo de la solidaridad. Hace años se estableció que los países desarrollados debían dedicar el 0,7% de su producto interior bruto (PIB) a esta finalidad. Es cierto que pocos países lo han alcanzado, pero tiene </w:t>
      </w:r>
      <w:r w:rsidR="006D0DAE">
        <w:rPr>
          <w:sz w:val="24"/>
          <w:szCs w:val="24"/>
        </w:rPr>
        <w:t xml:space="preserve">el significado de </w:t>
      </w:r>
      <w:r>
        <w:rPr>
          <w:sz w:val="24"/>
          <w:szCs w:val="24"/>
        </w:rPr>
        <w:t>un importante compromiso de la comunidad internacional.</w:t>
      </w:r>
    </w:p>
    <w:p w:rsidR="004E102C" w:rsidRDefault="004E102C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2ª. Debe evitar cualquier tentación de presencia estructural o permanente en el país receptor que pudiera calificarse como cercana o parecida al colonialismo. Toda cooperación debe tener su objetivo y </w:t>
      </w:r>
      <w:r w:rsidR="00D95E2D">
        <w:rPr>
          <w:sz w:val="24"/>
          <w:szCs w:val="24"/>
        </w:rPr>
        <w:t>su plazo, sin que deje en el país</w:t>
      </w:r>
      <w:r>
        <w:rPr>
          <w:sz w:val="24"/>
          <w:szCs w:val="24"/>
        </w:rPr>
        <w:t xml:space="preserve"> receptor el germen o el propósito de una dominación.</w:t>
      </w:r>
    </w:p>
    <w:p w:rsidR="004E102C" w:rsidRDefault="004E102C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3ª. Constituye, en cierto sentido, un deber moral de aquellos países que en tiempos recientes han pasado por la misma experiencia o niveles de subdesarrollo y han sido capaces de superarlos. La experiencia adquirida es trasladable. Y el ejemplo </w:t>
      </w:r>
      <w:r w:rsidR="00B51FA2">
        <w:rPr>
          <w:sz w:val="24"/>
          <w:szCs w:val="24"/>
        </w:rPr>
        <w:t xml:space="preserve">es </w:t>
      </w:r>
      <w:r>
        <w:rPr>
          <w:sz w:val="24"/>
          <w:szCs w:val="24"/>
        </w:rPr>
        <w:t xml:space="preserve">un estímulo y una esperanza de que se </w:t>
      </w:r>
      <w:proofErr w:type="gramStart"/>
      <w:r>
        <w:rPr>
          <w:sz w:val="24"/>
          <w:szCs w:val="24"/>
        </w:rPr>
        <w:t>puede</w:t>
      </w:r>
      <w:proofErr w:type="gramEnd"/>
      <w:r>
        <w:rPr>
          <w:sz w:val="24"/>
          <w:szCs w:val="24"/>
        </w:rPr>
        <w:t xml:space="preserve"> salir de la pobreza y la depresión.</w:t>
      </w:r>
    </w:p>
    <w:p w:rsidR="004E102C" w:rsidRDefault="004E102C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4ª. Por último, la cooperación constituye un vehículo de aportación cultural, especialmente</w:t>
      </w:r>
      <w:r w:rsidR="00B678F1">
        <w:rPr>
          <w:sz w:val="24"/>
          <w:szCs w:val="24"/>
        </w:rPr>
        <w:t xml:space="preserve"> en los países como los iberoamericanos con los que nos unen lazos históricos y culturales indestructibles.</w:t>
      </w:r>
    </w:p>
    <w:p w:rsidR="00B678F1" w:rsidRDefault="00B678F1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críticas a la cooperación internacional (como que “la caridad bien entendida empieza por uno mismo”) constituye un reto que cua</w:t>
      </w:r>
      <w:r w:rsidR="00B51FA2">
        <w:rPr>
          <w:sz w:val="24"/>
          <w:szCs w:val="24"/>
        </w:rPr>
        <w:t>lquier G</w:t>
      </w:r>
      <w:r>
        <w:rPr>
          <w:sz w:val="24"/>
          <w:szCs w:val="24"/>
        </w:rPr>
        <w:t xml:space="preserve">obierno debe superar, al tiempo que establece los controles necesarios para que se eviten la insana competencia entre </w:t>
      </w:r>
      <w:proofErr w:type="spellStart"/>
      <w:r>
        <w:rPr>
          <w:sz w:val="24"/>
          <w:szCs w:val="24"/>
        </w:rPr>
        <w:t>ONGs</w:t>
      </w:r>
      <w:proofErr w:type="spellEnd"/>
      <w:r>
        <w:rPr>
          <w:sz w:val="24"/>
          <w:szCs w:val="24"/>
        </w:rPr>
        <w:t>,  para seleccionar los proyectos que, efectivamente, generen desarrollo y no los extravagantes o puramente ideológicos que implican un dispendio injustificado, y</w:t>
      </w:r>
      <w:r w:rsidR="00D95E2D">
        <w:rPr>
          <w:sz w:val="24"/>
          <w:szCs w:val="24"/>
        </w:rPr>
        <w:t xml:space="preserve"> para que</w:t>
      </w:r>
      <w:r>
        <w:rPr>
          <w:sz w:val="24"/>
          <w:szCs w:val="24"/>
        </w:rPr>
        <w:t>, de manera muy especial, se controle el cumplimiento y ejecución del proyecto seleccionado, en otros términos, se rindan cuentas.</w:t>
      </w:r>
    </w:p>
    <w:p w:rsidR="00D95E2D" w:rsidRDefault="00D95E2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Otra cuestión es la de aquellas </w:t>
      </w:r>
      <w:proofErr w:type="spellStart"/>
      <w:r>
        <w:rPr>
          <w:sz w:val="24"/>
          <w:szCs w:val="24"/>
        </w:rPr>
        <w:t>ONGs</w:t>
      </w:r>
      <w:proofErr w:type="spellEnd"/>
      <w:r>
        <w:rPr>
          <w:sz w:val="24"/>
          <w:szCs w:val="24"/>
        </w:rPr>
        <w:t xml:space="preserve"> que se constituyen, exclusivamente, para re</w:t>
      </w:r>
      <w:r w:rsidR="00B51FA2">
        <w:rPr>
          <w:sz w:val="24"/>
          <w:szCs w:val="24"/>
        </w:rPr>
        <w:t>cibir subvenciones de los G</w:t>
      </w:r>
      <w:r>
        <w:rPr>
          <w:sz w:val="24"/>
          <w:szCs w:val="24"/>
        </w:rPr>
        <w:t>obiernos y son incapaces de generar recursos propios. La pregunta es la de que hasta qué punto siguen siendo “no gubernamentales”.</w:t>
      </w:r>
    </w:p>
    <w:p w:rsidR="00D95E2D" w:rsidRDefault="006D0DAE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En todo caso, el humanismo</w:t>
      </w:r>
      <w:r w:rsidR="00D95E2D">
        <w:rPr>
          <w:sz w:val="24"/>
          <w:szCs w:val="24"/>
        </w:rPr>
        <w:t>, inspirador de la política social que te expreso, no puede olvidarse de los países más pobres y necesitados que nosotros, pues si uno de sus ejes básicos es la comunidad, junto al de la persona, aquella ha de entenderse también desde una perspectiva universal.</w:t>
      </w:r>
    </w:p>
    <w:p w:rsidR="00D95E2D" w:rsidRPr="00C848DC" w:rsidRDefault="00D95E2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En la próxima carta te hablaré</w:t>
      </w:r>
      <w:r w:rsidR="00B51FA2">
        <w:rPr>
          <w:sz w:val="24"/>
          <w:szCs w:val="24"/>
        </w:rPr>
        <w:t xml:space="preserve"> de </w:t>
      </w:r>
      <w:r w:rsidR="00E4697D">
        <w:rPr>
          <w:sz w:val="24"/>
          <w:szCs w:val="24"/>
        </w:rPr>
        <w:t>humanismo y programas electorales</w:t>
      </w:r>
      <w:r w:rsidR="00B51FA2">
        <w:rPr>
          <w:sz w:val="24"/>
          <w:szCs w:val="24"/>
        </w:rPr>
        <w:t>.</w:t>
      </w:r>
    </w:p>
    <w:p w:rsidR="004B45C6" w:rsidRDefault="004B45C6" w:rsidP="004B45C6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Recibe un cordial abrazo de </w:t>
      </w:r>
    </w:p>
    <w:p w:rsidR="004B45C6" w:rsidRDefault="004B45C6" w:rsidP="004B45C6"/>
    <w:p w:rsidR="004B45C6" w:rsidRDefault="004B45C6" w:rsidP="004B45C6">
      <w:pPr>
        <w:jc w:val="right"/>
        <w:rPr>
          <w:sz w:val="24"/>
          <w:szCs w:val="24"/>
        </w:rPr>
      </w:pPr>
      <w:r>
        <w:rPr>
          <w:sz w:val="24"/>
          <w:szCs w:val="24"/>
        </w:rPr>
        <w:t>Fernando Díez Moreno</w:t>
      </w:r>
    </w:p>
    <w:p w:rsidR="004B45C6" w:rsidRDefault="00EA1876" w:rsidP="00EA1876">
      <w:pPr>
        <w:jc w:val="center"/>
        <w:rPr>
          <w:rFonts w:ascii="TimesNewRomanPS" w:hAnsi="TimesNewRomanPS" w:cs="TimesNewRomanPS"/>
          <w:b/>
          <w:color w:val="808080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B3412">
        <w:rPr>
          <w:sz w:val="24"/>
          <w:szCs w:val="24"/>
        </w:rPr>
        <w:t xml:space="preserve">                             </w:t>
      </w:r>
      <w:r w:rsidR="006D0DAE">
        <w:rPr>
          <w:sz w:val="24"/>
          <w:szCs w:val="24"/>
        </w:rPr>
        <w:t xml:space="preserve">   </w:t>
      </w:r>
      <w:r w:rsidR="004B45C6">
        <w:rPr>
          <w:sz w:val="24"/>
          <w:szCs w:val="24"/>
        </w:rPr>
        <w:t xml:space="preserve">Vicepresidente </w:t>
      </w:r>
    </w:p>
    <w:p w:rsidR="004B45C6" w:rsidRDefault="004B45C6" w:rsidP="00E667DF">
      <w:pPr>
        <w:autoSpaceDE w:val="0"/>
        <w:autoSpaceDN w:val="0"/>
        <w:adjustRightInd w:val="0"/>
        <w:jc w:val="center"/>
        <w:rPr>
          <w:b/>
          <w:color w:val="808080"/>
          <w:sz w:val="28"/>
          <w:szCs w:val="28"/>
        </w:rPr>
      </w:pPr>
    </w:p>
    <w:p w:rsidR="004B45C6" w:rsidRDefault="004B45C6" w:rsidP="00E667DF">
      <w:pPr>
        <w:autoSpaceDE w:val="0"/>
        <w:autoSpaceDN w:val="0"/>
        <w:adjustRightInd w:val="0"/>
        <w:jc w:val="center"/>
        <w:rPr>
          <w:b/>
          <w:color w:val="808080"/>
          <w:sz w:val="28"/>
          <w:szCs w:val="28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7B3412" w:rsidRDefault="007B3412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E667DF" w:rsidRPr="001121AD" w:rsidRDefault="00E667DF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  <w:r w:rsidRPr="001121AD">
        <w:rPr>
          <w:b/>
          <w:color w:val="808080"/>
          <w:sz w:val="22"/>
          <w:szCs w:val="22"/>
        </w:rPr>
        <w:t xml:space="preserve">Puerto de los Leones, 1 - Of. 314-315 • 28220 </w:t>
      </w:r>
      <w:proofErr w:type="spellStart"/>
      <w:r w:rsidRPr="001121AD">
        <w:rPr>
          <w:b/>
          <w:color w:val="808080"/>
          <w:sz w:val="22"/>
          <w:szCs w:val="22"/>
        </w:rPr>
        <w:t>Majadahonda</w:t>
      </w:r>
      <w:proofErr w:type="spellEnd"/>
      <w:r w:rsidRPr="001121AD">
        <w:rPr>
          <w:b/>
          <w:color w:val="808080"/>
          <w:sz w:val="22"/>
          <w:szCs w:val="22"/>
        </w:rPr>
        <w:t xml:space="preserve"> - Madrid</w:t>
      </w:r>
    </w:p>
    <w:p w:rsidR="00E667DF" w:rsidRPr="001121AD" w:rsidRDefault="00E667DF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  <w:r w:rsidRPr="001121AD">
        <w:rPr>
          <w:b/>
          <w:color w:val="808080"/>
          <w:sz w:val="22"/>
          <w:szCs w:val="22"/>
        </w:rPr>
        <w:t>Teléfono 91 533 83 10 • Móvil 671 694 777 • Fax 91 634 74 99</w:t>
      </w:r>
    </w:p>
    <w:p w:rsidR="007144AC" w:rsidRPr="001121AD" w:rsidRDefault="0030002A" w:rsidP="00E667DF">
      <w:pPr>
        <w:jc w:val="center"/>
        <w:rPr>
          <w:sz w:val="22"/>
          <w:szCs w:val="22"/>
        </w:rPr>
      </w:pPr>
      <w:r>
        <w:rPr>
          <w:b/>
          <w:color w:val="808080"/>
          <w:sz w:val="22"/>
          <w:szCs w:val="22"/>
        </w:rPr>
        <w:t>www.fundaciontomasmoro.es</w:t>
      </w:r>
      <w:r w:rsidR="00E667DF" w:rsidRPr="001121AD">
        <w:rPr>
          <w:b/>
          <w:color w:val="808080"/>
          <w:sz w:val="22"/>
          <w:szCs w:val="22"/>
        </w:rPr>
        <w:t xml:space="preserve"> • fundaciontomasmoro@wanadoo.es</w:t>
      </w:r>
    </w:p>
    <w:sectPr w:rsidR="007144AC" w:rsidRPr="001121AD" w:rsidSect="00CE5CDD">
      <w:endnotePr>
        <w:numFmt w:val="decimal"/>
      </w:endnotePr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5F" w:rsidRDefault="00BA0E5F" w:rsidP="00CB3816">
      <w:r>
        <w:separator/>
      </w:r>
    </w:p>
  </w:endnote>
  <w:endnote w:type="continuationSeparator" w:id="1">
    <w:p w:rsidR="00BA0E5F" w:rsidRDefault="00BA0E5F" w:rsidP="00CB3816">
      <w:r>
        <w:continuationSeparator/>
      </w:r>
    </w:p>
  </w:endnote>
  <w:endnote w:id="2">
    <w:p w:rsidR="00CB3816" w:rsidRDefault="00CB3816" w:rsidP="00EB46B2">
      <w:pPr>
        <w:pStyle w:val="Textonotapie"/>
      </w:pPr>
      <w:r>
        <w:rPr>
          <w:rStyle w:val="Refdenotaalfinal"/>
        </w:rPr>
        <w:endnoteRef/>
      </w:r>
      <w:r>
        <w:t xml:space="preserve"> En el Manual de la “Nueva gramática de la lengua española” publicado por la Real Academia Española, (</w:t>
      </w:r>
      <w:proofErr w:type="spellStart"/>
      <w:r>
        <w:t>pag</w:t>
      </w:r>
      <w:proofErr w:type="spellEnd"/>
      <w:r>
        <w:t xml:space="preserve">. 25, Madrid, 2010), se dice que en el lenguaje político, administrativo y periodístico se percibe una tendencia a construir series coordinadas constituidas por sustantivos de personas que manifiestan los dos géneros (amigos/amigas, diputados/diputadas, alumnos/alumnas), el circunloquio es innecesario  puesto que el empleo del género no marcado (masculino) es suficientemente explícito para abarcar a los individuos de uno y otro sexo.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5F" w:rsidRDefault="00BA0E5F" w:rsidP="00CB3816">
      <w:r>
        <w:separator/>
      </w:r>
    </w:p>
  </w:footnote>
  <w:footnote w:type="continuationSeparator" w:id="1">
    <w:p w:rsidR="00BA0E5F" w:rsidRDefault="00BA0E5F" w:rsidP="00CB3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667DF"/>
    <w:rsid w:val="00006400"/>
    <w:rsid w:val="0005077D"/>
    <w:rsid w:val="000A4658"/>
    <w:rsid w:val="000B5A2D"/>
    <w:rsid w:val="001121AD"/>
    <w:rsid w:val="00120EBC"/>
    <w:rsid w:val="00215165"/>
    <w:rsid w:val="00266445"/>
    <w:rsid w:val="0026678C"/>
    <w:rsid w:val="002A27C4"/>
    <w:rsid w:val="0030002A"/>
    <w:rsid w:val="00372578"/>
    <w:rsid w:val="004825CF"/>
    <w:rsid w:val="004963F8"/>
    <w:rsid w:val="004B45C6"/>
    <w:rsid w:val="004C1364"/>
    <w:rsid w:val="004E102C"/>
    <w:rsid w:val="0051768C"/>
    <w:rsid w:val="006222C6"/>
    <w:rsid w:val="00667ACF"/>
    <w:rsid w:val="006B5DFB"/>
    <w:rsid w:val="006D0DAE"/>
    <w:rsid w:val="006D5F63"/>
    <w:rsid w:val="006D68B5"/>
    <w:rsid w:val="006F5C1B"/>
    <w:rsid w:val="007069C2"/>
    <w:rsid w:val="007144AC"/>
    <w:rsid w:val="00735A34"/>
    <w:rsid w:val="007B3412"/>
    <w:rsid w:val="007D6E01"/>
    <w:rsid w:val="007F1BCA"/>
    <w:rsid w:val="00895B0F"/>
    <w:rsid w:val="00A0420A"/>
    <w:rsid w:val="00A31CF2"/>
    <w:rsid w:val="00A8363E"/>
    <w:rsid w:val="00A95FAF"/>
    <w:rsid w:val="00AB5089"/>
    <w:rsid w:val="00AB6412"/>
    <w:rsid w:val="00AE6D2E"/>
    <w:rsid w:val="00B512A2"/>
    <w:rsid w:val="00B51FA2"/>
    <w:rsid w:val="00B678F1"/>
    <w:rsid w:val="00BA0E5F"/>
    <w:rsid w:val="00BC6DCD"/>
    <w:rsid w:val="00C36D49"/>
    <w:rsid w:val="00C848DC"/>
    <w:rsid w:val="00CA7CC1"/>
    <w:rsid w:val="00CB3816"/>
    <w:rsid w:val="00D113C2"/>
    <w:rsid w:val="00D52A83"/>
    <w:rsid w:val="00D95E2D"/>
    <w:rsid w:val="00E4697D"/>
    <w:rsid w:val="00E57077"/>
    <w:rsid w:val="00E62A08"/>
    <w:rsid w:val="00E667DF"/>
    <w:rsid w:val="00EA0B95"/>
    <w:rsid w:val="00EA1876"/>
    <w:rsid w:val="00EB46B2"/>
    <w:rsid w:val="00ED488C"/>
    <w:rsid w:val="00ED517C"/>
    <w:rsid w:val="00F52194"/>
    <w:rsid w:val="00F61498"/>
    <w:rsid w:val="00FB09DE"/>
    <w:rsid w:val="00FE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7DF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B3816"/>
  </w:style>
  <w:style w:type="character" w:customStyle="1" w:styleId="TextonotapieCar">
    <w:name w:val="Texto nota pie Car"/>
    <w:basedOn w:val="Fuentedeprrafopredeter"/>
    <w:link w:val="Textonotapie"/>
    <w:uiPriority w:val="99"/>
    <w:rsid w:val="00CB3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B38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381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3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B381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6678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7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0042-F5B4-4643-8682-1AFB118B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Fernando</cp:lastModifiedBy>
  <cp:revision>2</cp:revision>
  <dcterms:created xsi:type="dcterms:W3CDTF">2015-07-20T10:27:00Z</dcterms:created>
  <dcterms:modified xsi:type="dcterms:W3CDTF">2015-07-20T10:27:00Z</dcterms:modified>
</cp:coreProperties>
</file>